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86C4">
      <w:pPr>
        <w:spacing w:line="360" w:lineRule="auto"/>
        <w:jc w:val="center"/>
        <w:rPr>
          <w:rFonts w:hint="eastAsia" w:ascii="微软雅黑" w:hAnsi="微软雅黑" w:eastAsia="微软雅黑" w:cs="微软雅黑"/>
          <w:b/>
          <w:bCs/>
          <w:sz w:val="32"/>
          <w:szCs w:val="32"/>
          <w:u w:val="single"/>
          <w:lang w:eastAsia="zh-CN"/>
        </w:rPr>
      </w:pPr>
      <w:r>
        <w:rPr>
          <w:rFonts w:hint="eastAsia" w:ascii="微软雅黑" w:hAnsi="微软雅黑" w:eastAsia="微软雅黑" w:cs="微软雅黑"/>
          <w:b/>
          <w:bCs/>
          <w:sz w:val="32"/>
          <w:szCs w:val="32"/>
          <w:u w:val="single"/>
          <w:lang w:eastAsia="zh-CN"/>
        </w:rPr>
        <w:t>主服务协议</w:t>
      </w:r>
    </w:p>
    <w:p w14:paraId="0A6786C5">
      <w:pPr>
        <w:tabs>
          <w:tab w:val="left" w:pos="2481"/>
        </w:tabs>
        <w:spacing w:line="360" w:lineRule="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ab/>
      </w:r>
    </w:p>
    <w:p w14:paraId="0A6786C6">
      <w:pPr>
        <w:spacing w:line="360" w:lineRule="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本协议</w:t>
      </w:r>
      <w:r>
        <w:rPr>
          <w:rFonts w:hint="eastAsia" w:ascii="微软雅黑" w:hAnsi="微软雅黑" w:eastAsia="微软雅黑" w:cs="微软雅黑"/>
          <w:bCs/>
          <w:sz w:val="21"/>
          <w:szCs w:val="21"/>
          <w:lang w:eastAsia="zh-CN"/>
        </w:rPr>
        <w:t>于</w:t>
      </w:r>
      <w:r>
        <w:rPr>
          <w:rFonts w:hint="eastAsia" w:ascii="微软雅黑" w:hAnsi="微软雅黑" w:eastAsia="微软雅黑" w:cs="微软雅黑"/>
          <w:bCs/>
          <w:sz w:val="21"/>
          <w:szCs w:val="21"/>
          <w:lang w:val="en-US" w:eastAsia="zh-CN"/>
        </w:rPr>
        <w:t>2025</w:t>
      </w:r>
      <w:r>
        <w:rPr>
          <w:rFonts w:hint="eastAsia" w:ascii="微软雅黑" w:hAnsi="微软雅黑" w:eastAsia="微软雅黑" w:cs="微软雅黑"/>
          <w:bCs/>
          <w:sz w:val="21"/>
          <w:szCs w:val="21"/>
          <w:lang w:eastAsia="zh-CN"/>
        </w:rPr>
        <w:t>年</w:t>
      </w:r>
      <w:r>
        <w:rPr>
          <w:rFonts w:hint="eastAsia" w:ascii="微软雅黑" w:hAnsi="微软雅黑" w:eastAsia="微软雅黑" w:cs="微软雅黑"/>
          <w:bCs/>
          <w:sz w:val="21"/>
          <w:szCs w:val="21"/>
          <w:lang w:val="en-US" w:eastAsia="zh-CN"/>
        </w:rPr>
        <w:t>4</w:t>
      </w:r>
      <w:r>
        <w:rPr>
          <w:rFonts w:hint="eastAsia" w:ascii="微软雅黑" w:hAnsi="微软雅黑" w:eastAsia="微软雅黑" w:cs="微软雅黑"/>
          <w:bCs/>
          <w:sz w:val="21"/>
          <w:szCs w:val="21"/>
          <w:lang w:eastAsia="zh-CN"/>
        </w:rPr>
        <w:t>月</w:t>
      </w:r>
      <w:r>
        <w:rPr>
          <w:rFonts w:hint="eastAsia" w:ascii="微软雅黑" w:hAnsi="微软雅黑" w:eastAsia="微软雅黑" w:cs="微软雅黑"/>
          <w:bCs/>
          <w:sz w:val="21"/>
          <w:szCs w:val="21"/>
          <w:lang w:val="en-US" w:eastAsia="zh-CN"/>
        </w:rPr>
        <w:t>1</w:t>
      </w:r>
      <w:r>
        <w:rPr>
          <w:rFonts w:hint="eastAsia" w:ascii="微软雅黑" w:hAnsi="微软雅黑" w:eastAsia="微软雅黑" w:cs="微软雅黑"/>
          <w:bCs/>
          <w:sz w:val="21"/>
          <w:szCs w:val="21"/>
          <w:lang w:eastAsia="zh-CN"/>
        </w:rPr>
        <w:t>日（下称“</w:t>
      </w:r>
      <w:r>
        <w:rPr>
          <w:rFonts w:hint="eastAsia" w:ascii="微软雅黑" w:hAnsi="微软雅黑" w:eastAsia="微软雅黑" w:cs="微软雅黑"/>
          <w:b/>
          <w:bCs/>
          <w:sz w:val="21"/>
          <w:szCs w:val="21"/>
          <w:lang w:eastAsia="zh-CN"/>
        </w:rPr>
        <w:t>生效日</w:t>
      </w:r>
      <w:r>
        <w:rPr>
          <w:rFonts w:hint="eastAsia" w:ascii="微软雅黑" w:hAnsi="微软雅黑" w:eastAsia="微软雅黑" w:cs="微软雅黑"/>
          <w:bCs/>
          <w:sz w:val="21"/>
          <w:szCs w:val="21"/>
          <w:lang w:eastAsia="zh-CN"/>
        </w:rPr>
        <w:t>”）签订。</w:t>
      </w:r>
    </w:p>
    <w:p w14:paraId="2EF7B65C">
      <w:pPr>
        <w:pStyle w:val="5"/>
        <w:numPr>
          <w:ilvl w:val="255"/>
          <w:numId w:val="0"/>
        </w:numPr>
        <w:shd w:val="clear" w:color="auto" w:fill="FFFFFF"/>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由：</w:t>
      </w:r>
      <w:r>
        <w:rPr>
          <w:rFonts w:hint="eastAsia" w:ascii="微软雅黑" w:hAnsi="微软雅黑" w:eastAsia="微软雅黑" w:cs="微软雅黑"/>
          <w:b/>
          <w:sz w:val="21"/>
          <w:szCs w:val="21"/>
          <w:lang w:eastAsia="zh-CN"/>
        </w:rPr>
        <w:tab/>
      </w:r>
      <w:r>
        <w:rPr>
          <w:rFonts w:hint="eastAsia" w:ascii="微软雅黑" w:hAnsi="微软雅黑" w:eastAsia="微软雅黑" w:cs="微软雅黑"/>
          <w:b/>
          <w:sz w:val="21"/>
          <w:szCs w:val="21"/>
          <w:lang w:eastAsia="zh-CN"/>
        </w:rPr>
        <w:t>[公信贸易(上海)有限公司</w:t>
      </w:r>
      <w:r>
        <w:rPr>
          <w:rFonts w:hint="eastAsia" w:ascii="微软雅黑" w:hAnsi="微软雅黑" w:eastAsia="微软雅黑" w:cs="微软雅黑"/>
          <w:sz w:val="21"/>
          <w:szCs w:val="21"/>
          <w:lang w:eastAsia="zh-CN"/>
        </w:rPr>
        <w:t>]，一家根据中华人民共和国法律成立的公司，其统一社会信用代码是[</w:t>
      </w:r>
      <w:r>
        <w:rPr>
          <w:rFonts w:ascii="微软雅黑" w:hAnsi="微软雅黑" w:eastAsia="微软雅黑" w:cs="微软雅黑"/>
          <w:sz w:val="21"/>
          <w:szCs w:val="21"/>
          <w:lang w:eastAsia="zh-CN"/>
        </w:rPr>
        <w:t>9131000057913199X2</w:t>
      </w:r>
      <w:r>
        <w:rPr>
          <w:rFonts w:hint="eastAsia" w:ascii="微软雅黑" w:hAnsi="微软雅黑" w:eastAsia="微软雅黑" w:cs="微软雅黑"/>
          <w:sz w:val="21"/>
          <w:szCs w:val="21"/>
          <w:lang w:eastAsia="zh-CN"/>
        </w:rPr>
        <w:t>]，其工商登记地址位于</w:t>
      </w:r>
      <w:r>
        <w:rPr>
          <w:rFonts w:hint="eastAsia" w:ascii="微软雅黑" w:hAnsi="微软雅黑" w:eastAsia="微软雅黑" w:cs="微软雅黑"/>
          <w:color w:val="0D1A26"/>
          <w:sz w:val="21"/>
          <w:szCs w:val="21"/>
          <w:shd w:val="clear" w:color="auto" w:fill="FFFFFF"/>
          <w:lang w:eastAsia="zh-CN"/>
        </w:rPr>
        <w:t>上海市虹口区吴淞路218号30楼01A单元</w:t>
      </w:r>
      <w:r>
        <w:rPr>
          <w:rFonts w:hint="eastAsia" w:ascii="微软雅黑" w:hAnsi="微软雅黑" w:eastAsia="微软雅黑" w:cs="微软雅黑"/>
          <w:sz w:val="21"/>
          <w:szCs w:val="21"/>
          <w:lang w:eastAsia="zh-CN"/>
        </w:rPr>
        <w:t>，邮编200080，下称“公信”，及</w:t>
      </w:r>
    </w:p>
    <w:p w14:paraId="0A6786C8">
      <w:pPr>
        <w:pStyle w:val="5"/>
        <w:numPr>
          <w:ilvl w:val="255"/>
          <w:numId w:val="0"/>
        </w:numPr>
        <w:shd w:val="clear" w:color="auto" w:fill="FFFFFF"/>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highlight w:val="yellow"/>
          <w:lang w:eastAsia="zh-CN"/>
        </w:rPr>
        <w:t>[上海麦田公共关系咨询有限公司]</w:t>
      </w:r>
      <w:r>
        <w:rPr>
          <w:rFonts w:hint="eastAsia" w:ascii="微软雅黑" w:hAnsi="微软雅黑" w:eastAsia="微软雅黑" w:cs="微软雅黑"/>
          <w:sz w:val="21"/>
          <w:szCs w:val="21"/>
          <w:lang w:eastAsia="zh-CN"/>
        </w:rPr>
        <w:t>，一家根据中华人民共和国法律成立的企业，其统一社会信用代码是</w:t>
      </w:r>
      <w:r>
        <w:rPr>
          <w:rFonts w:hint="eastAsia" w:ascii="微软雅黑" w:hAnsi="微软雅黑" w:eastAsia="微软雅黑" w:cs="微软雅黑"/>
          <w:sz w:val="21"/>
          <w:szCs w:val="21"/>
          <w:highlight w:val="yellow"/>
          <w:lang w:eastAsia="zh-CN"/>
        </w:rPr>
        <w:t>[91310118745630867T]</w:t>
      </w:r>
      <w:r>
        <w:rPr>
          <w:rFonts w:hint="eastAsia" w:ascii="微软雅黑" w:hAnsi="微软雅黑" w:eastAsia="微软雅黑" w:cs="微软雅黑"/>
          <w:sz w:val="21"/>
          <w:szCs w:val="21"/>
          <w:lang w:eastAsia="zh-CN"/>
        </w:rPr>
        <w:t>，其注册办事处位于</w:t>
      </w:r>
      <w:r>
        <w:rPr>
          <w:rFonts w:hint="eastAsia" w:ascii="微软雅黑" w:hAnsi="微软雅黑" w:eastAsia="微软雅黑" w:cs="微软雅黑"/>
          <w:sz w:val="21"/>
          <w:szCs w:val="21"/>
          <w:highlight w:val="yellow"/>
          <w:lang w:eastAsia="zh-CN"/>
        </w:rPr>
        <w:t>[上海市静安区成都北路333号招商局广场南楼26</w:t>
      </w:r>
      <w:r>
        <w:rPr>
          <w:rFonts w:hint="eastAsia" w:ascii="微软雅黑" w:hAnsi="微软雅黑" w:eastAsia="微软雅黑" w:cs="微软雅黑"/>
          <w:sz w:val="21"/>
          <w:szCs w:val="21"/>
          <w:highlight w:val="yellow"/>
          <w:lang w:val="en-US" w:eastAsia="zh-CN"/>
        </w:rPr>
        <w:t>楼</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lang w:eastAsia="zh-CN"/>
        </w:rPr>
        <w:t>，下称“</w:t>
      </w:r>
      <w:r>
        <w:rPr>
          <w:rFonts w:hint="eastAsia" w:ascii="微软雅黑" w:hAnsi="微软雅黑" w:eastAsia="微软雅黑" w:cs="微软雅黑"/>
          <w:b/>
          <w:sz w:val="21"/>
          <w:szCs w:val="21"/>
          <w:lang w:eastAsia="zh-CN"/>
        </w:rPr>
        <w:t>服务提供方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eastAsia="zh-CN"/>
        </w:rPr>
        <w:tab/>
      </w:r>
    </w:p>
    <w:p w14:paraId="0A6786C9">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以下单称为“</w:t>
      </w:r>
      <w:r>
        <w:rPr>
          <w:rFonts w:hint="eastAsia" w:ascii="微软雅黑" w:hAnsi="微软雅黑" w:eastAsia="微软雅黑" w:cs="微软雅黑"/>
          <w:b/>
          <w:sz w:val="21"/>
          <w:szCs w:val="21"/>
          <w:lang w:eastAsia="zh-CN"/>
        </w:rPr>
        <w:t>一方</w:t>
      </w:r>
      <w:r>
        <w:rPr>
          <w:rFonts w:hint="eastAsia" w:ascii="微软雅黑" w:hAnsi="微软雅黑" w:eastAsia="微软雅黑" w:cs="微软雅黑"/>
          <w:sz w:val="21"/>
          <w:szCs w:val="21"/>
          <w:lang w:eastAsia="zh-CN"/>
        </w:rPr>
        <w:t>”，合称为“</w:t>
      </w:r>
      <w:r>
        <w:rPr>
          <w:rFonts w:hint="eastAsia" w:ascii="微软雅黑" w:hAnsi="微软雅黑" w:eastAsia="微软雅黑" w:cs="微软雅黑"/>
          <w:b/>
          <w:sz w:val="21"/>
          <w:szCs w:val="21"/>
          <w:lang w:eastAsia="zh-CN"/>
        </w:rPr>
        <w:t>双方</w:t>
      </w:r>
      <w:r>
        <w:rPr>
          <w:rFonts w:hint="eastAsia" w:ascii="微软雅黑" w:hAnsi="微软雅黑" w:eastAsia="微软雅黑" w:cs="微软雅黑"/>
          <w:sz w:val="21"/>
          <w:szCs w:val="21"/>
          <w:lang w:eastAsia="zh-CN"/>
        </w:rPr>
        <w:t>”。</w:t>
      </w:r>
    </w:p>
    <w:p w14:paraId="0A6786CA">
      <w:pPr>
        <w:spacing w:line="360" w:lineRule="auto"/>
        <w:jc w:val="both"/>
        <w:rPr>
          <w:rFonts w:hint="eastAsia" w:ascii="微软雅黑" w:hAnsi="微软雅黑" w:eastAsia="微软雅黑" w:cs="微软雅黑"/>
          <w:b/>
          <w:sz w:val="21"/>
          <w:szCs w:val="21"/>
          <w:lang w:eastAsia="zh-CN"/>
        </w:rPr>
      </w:pPr>
    </w:p>
    <w:p w14:paraId="0A6786CB">
      <w:pPr>
        <w:spacing w:line="360" w:lineRule="auto"/>
        <w:jc w:val="both"/>
        <w:rPr>
          <w:rFonts w:hint="eastAsia" w:ascii="微软雅黑" w:hAnsi="微软雅黑" w:eastAsia="微软雅黑" w:cs="微软雅黑"/>
          <w:b/>
          <w:spacing w:val="-3"/>
          <w:sz w:val="21"/>
          <w:szCs w:val="21"/>
          <w:lang w:eastAsia="zh-CN"/>
        </w:rPr>
      </w:pPr>
      <w:r>
        <w:rPr>
          <w:rFonts w:hint="eastAsia" w:ascii="微软雅黑" w:hAnsi="微软雅黑" w:eastAsia="微软雅黑" w:cs="微软雅黑"/>
          <w:b/>
          <w:sz w:val="21"/>
          <w:szCs w:val="21"/>
          <w:lang w:eastAsia="zh-CN"/>
        </w:rPr>
        <w:t>鉴于，公信有意根据本协议规定的条款和条件，通过签署详细描述服务的个别工作说明书</w:t>
      </w:r>
      <w:r>
        <w:rPr>
          <w:rFonts w:hint="eastAsia" w:ascii="微软雅黑" w:hAnsi="微软雅黑" w:eastAsia="微软雅黑" w:cs="微软雅黑"/>
          <w:b/>
          <w:sz w:val="21"/>
          <w:szCs w:val="21"/>
          <w:lang w:val="en-US" w:eastAsia="zh-CN"/>
        </w:rPr>
        <w:t>指示</w:t>
      </w:r>
      <w:r>
        <w:rPr>
          <w:rFonts w:hint="eastAsia" w:ascii="微软雅黑" w:hAnsi="微软雅黑" w:eastAsia="微软雅黑" w:cs="微软雅黑"/>
          <w:b/>
          <w:sz w:val="21"/>
          <w:szCs w:val="21"/>
          <w:lang w:eastAsia="zh-CN"/>
        </w:rPr>
        <w:t>服务提供方不时地履行服务，而服务提供方</w:t>
      </w:r>
      <w:r>
        <w:rPr>
          <w:rFonts w:hint="eastAsia" w:ascii="微软雅黑" w:hAnsi="微软雅黑" w:eastAsia="微软雅黑" w:cs="微软雅黑"/>
          <w:b/>
          <w:sz w:val="21"/>
          <w:szCs w:val="21"/>
          <w:lang w:val="en-US" w:eastAsia="zh-CN"/>
        </w:rPr>
        <w:t>同</w:t>
      </w:r>
      <w:r>
        <w:rPr>
          <w:rFonts w:hint="eastAsia" w:ascii="微软雅黑" w:hAnsi="微软雅黑" w:eastAsia="微软雅黑" w:cs="微软雅黑"/>
          <w:b/>
          <w:sz w:val="21"/>
          <w:szCs w:val="21"/>
          <w:lang w:eastAsia="zh-CN"/>
        </w:rPr>
        <w:t>意根据本协议规定的条款和条件履行上述服务。</w:t>
      </w:r>
    </w:p>
    <w:p w14:paraId="0A6786CC">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基于本协议所包含的相互承诺和契约，以及在此确认收讫和充分的其他良好且有价对价，双方约定如下：</w:t>
      </w:r>
    </w:p>
    <w:p w14:paraId="0A6786CD">
      <w:pPr>
        <w:spacing w:line="360" w:lineRule="auto"/>
        <w:rPr>
          <w:rFonts w:hint="eastAsia" w:ascii="微软雅黑" w:hAnsi="微软雅黑" w:eastAsia="微软雅黑" w:cs="微软雅黑"/>
          <w:b/>
          <w:sz w:val="21"/>
          <w:szCs w:val="21"/>
          <w:lang w:eastAsia="zh-CN"/>
        </w:rPr>
      </w:pPr>
    </w:p>
    <w:p w14:paraId="0A6786CE">
      <w:p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sz w:val="21"/>
          <w:szCs w:val="21"/>
          <w:lang w:eastAsia="zh-CN"/>
        </w:rPr>
        <w:t xml:space="preserve">第一节   </w:t>
      </w:r>
      <w:r>
        <w:rPr>
          <w:rFonts w:hint="eastAsia" w:ascii="微软雅黑" w:hAnsi="微软雅黑" w:eastAsia="微软雅黑" w:cs="微软雅黑"/>
          <w:b/>
          <w:sz w:val="21"/>
          <w:szCs w:val="21"/>
          <w:u w:val="single"/>
          <w:lang w:eastAsia="zh-CN"/>
        </w:rPr>
        <w:t>定义</w:t>
      </w:r>
    </w:p>
    <w:p w14:paraId="0A6786CF">
      <w:pPr>
        <w:pStyle w:val="3"/>
        <w:spacing w:after="0"/>
        <w:rPr>
          <w:rFonts w:hint="eastAsia" w:ascii="微软雅黑" w:hAnsi="微软雅黑" w:eastAsia="微软雅黑" w:cs="微软雅黑"/>
          <w:sz w:val="21"/>
          <w:szCs w:val="21"/>
          <w:lang w:eastAsia="zh-CN"/>
        </w:rPr>
      </w:pPr>
    </w:p>
    <w:p w14:paraId="0A6786D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   “关联方”应指控制一方、受控于一方、或与一方共同受到控制的任何法人、企业实体或自然人；为本定义之目的，“控制”应指直接或间接地拥有该法人或其他实体超过百分之五十（50%）的表决权或掌握（或促使掌握）该方管理或政策的权力。</w:t>
      </w:r>
    </w:p>
    <w:p w14:paraId="0A6786D1">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   “本协议”应指本主服务协议和其附件，以及本协议下允许的可能对他们进行的不时变更和修订。</w:t>
      </w:r>
    </w:p>
    <w:p w14:paraId="0A6786D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   “适用法规”是指所有法律、规则、法规、准则、监管要求、授权、以及适用于本协议的其他要求。</w:t>
      </w:r>
    </w:p>
    <w:p w14:paraId="0A6786D3">
      <w:pPr>
        <w:pStyle w:val="3"/>
        <w:spacing w:after="0"/>
        <w:rPr>
          <w:rFonts w:hint="eastAsia" w:ascii="微软雅黑" w:hAnsi="微软雅黑" w:eastAsia="微软雅黑" w:cs="微软雅黑"/>
          <w:sz w:val="21"/>
          <w:szCs w:val="21"/>
          <w:lang w:eastAsia="zh-CN"/>
        </w:rPr>
      </w:pPr>
      <w:bookmarkStart w:id="0" w:name="OLE_LINK19"/>
      <w:bookmarkStart w:id="1" w:name="OLE_LINK18"/>
      <w:r>
        <w:rPr>
          <w:rFonts w:hint="eastAsia" w:ascii="微软雅黑" w:hAnsi="微软雅黑" w:eastAsia="微软雅黑" w:cs="微软雅黑"/>
          <w:sz w:val="21"/>
          <w:szCs w:val="21"/>
          <w:lang w:eastAsia="zh-CN"/>
        </w:rPr>
        <w:t>1.4   “</w:t>
      </w:r>
      <w:bookmarkEnd w:id="0"/>
      <w:bookmarkEnd w:id="1"/>
      <w:r>
        <w:rPr>
          <w:rFonts w:hint="eastAsia" w:ascii="微软雅黑" w:hAnsi="微软雅黑" w:eastAsia="微软雅黑" w:cs="微软雅黑"/>
          <w:sz w:val="21"/>
          <w:szCs w:val="21"/>
          <w:lang w:eastAsia="zh-CN"/>
        </w:rPr>
        <w:t xml:space="preserve">机密信息”是指在签署本协议后，披露方向接收方披露的任何信息，无论是有形或无形的，口头、视觉、书面、电子或其他任何形式的信息。接收方在访问披露方场所时获取的信息也应是机密信息。 </w:t>
      </w:r>
    </w:p>
    <w:p w14:paraId="0A6786D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机密信息包括但不限于数据、技术秘密、专有技术、公式、配方、工艺、文件、设计、草图、照片、计划、图表、图纸、说明书、软件、源代码和目的码、运算法则、软件所依据之方法、原理和技术的信息、服务、资金、财务模型、业务计划和营销计划、报告、顾客清单、定价信息、研究、结果、发现、发明、理念和其他知识。</w:t>
      </w:r>
    </w:p>
    <w:p w14:paraId="0A6786D5">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同时，机密信息包括本协议的存在、条款和目标以及与此有关的讨论事实。</w:t>
      </w:r>
    </w:p>
    <w:p w14:paraId="0A6786D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未明确标记或指定任何机密信息为机密或专有的，不得影响本协议条款下作为机密信息的状态。</w:t>
      </w:r>
    </w:p>
    <w:p w14:paraId="0A6786D7">
      <w:pPr>
        <w:pStyle w:val="3"/>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 xml:space="preserve">  “披露方”是指向接收方披露机密信息的一方。</w:t>
      </w:r>
    </w:p>
    <w:p w14:paraId="0A6786D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eastAsia="zh-CN"/>
        </w:rPr>
        <w:t xml:space="preserve">   “生效日”应当具有本协议序言中规定的涵义。</w:t>
      </w:r>
    </w:p>
    <w:p w14:paraId="0A6786D9">
      <w:pPr>
        <w:pStyle w:val="3"/>
        <w:spacing w:after="0"/>
        <w:rPr>
          <w:rFonts w:hint="eastAsia" w:ascii="微软雅黑" w:hAnsi="微软雅黑" w:eastAsia="微软雅黑" w:cs="微软雅黑"/>
          <w:sz w:val="21"/>
          <w:szCs w:val="21"/>
          <w:lang w:eastAsia="zh-CN"/>
        </w:rPr>
      </w:pPr>
      <w:bookmarkStart w:id="2" w:name="OLE_LINK3"/>
      <w:bookmarkStart w:id="3" w:name="OLE_LINK4"/>
      <w:bookmarkStart w:id="4" w:name="OLE_LINK5"/>
      <w:bookmarkStart w:id="5" w:name="OLE_LINK6"/>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lang w:eastAsia="zh-CN"/>
        </w:rPr>
        <w:t xml:space="preserve">   “</w:t>
      </w:r>
      <w:bookmarkEnd w:id="2"/>
      <w:bookmarkEnd w:id="3"/>
      <w:bookmarkEnd w:id="4"/>
      <w:bookmarkEnd w:id="5"/>
      <w:r>
        <w:rPr>
          <w:rFonts w:hint="eastAsia" w:ascii="微软雅黑" w:hAnsi="微软雅黑" w:eastAsia="微软雅黑" w:cs="微软雅黑"/>
          <w:sz w:val="21"/>
          <w:szCs w:val="21"/>
          <w:lang w:eastAsia="zh-CN"/>
        </w:rPr>
        <w:t>不可抗力”指不在一方合理控制范围内的任何原因，包括但不限于天灾、政府行为、恐怖活动、故意破坏、征用、暴乱、战争、自然灾害、民众骚乱、断电、爆炸、设备故障、大规模物料短缺、火灾引起的设施或物料损毁，地震、洪水、暴风雨、一方外部的工潮和罢工，以及公共设施的故障。</w:t>
      </w:r>
    </w:p>
    <w:p w14:paraId="0A6786DA">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eastAsia="zh-CN"/>
        </w:rPr>
        <w:t xml:space="preserve">   “信息”应指任何形式的发明（不论是否可获得专利）、数据、指示、理念、软件、运算、发现、程序、方法、技术、配方、生物序列、建议和其他任何知识。</w:t>
      </w:r>
    </w:p>
    <w:p w14:paraId="0A6786DB">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lang w:eastAsia="zh-CN"/>
        </w:rPr>
        <w:t xml:space="preserve">  “知识产权”应指所有的专利、商标、实用新型证书和模型、发明者证书、版权、数据库权、设计、域名、商业秘密、专有技术及任何其他专有权、优先权、优先使用权和所有其他类似的权利（不论是否在任何司法管辖地注册）。</w:t>
      </w:r>
    </w:p>
    <w:p w14:paraId="0A6786D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lang w:eastAsia="zh-CN"/>
        </w:rPr>
        <w:t xml:space="preserve">  “专有技术”应指一方占有或开发的一切信息和材料。如非专利发明、公式、设计、图纸、程序和方法，以及可以帮助制造和使用产品并带来竞争优势的累积技能和经验。</w:t>
      </w:r>
    </w:p>
    <w:p w14:paraId="0A6786D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 xml:space="preserve">   “材料”应指任何有形的生物、化学或物理材料。</w:t>
      </w:r>
    </w:p>
    <w:p w14:paraId="0A6786D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 xml:space="preserve">   “个人信息”应指任何有关某已识别的或可以识别的自然人的信息，某“可以识别的自然人”是指可以直接或间接地通过参考姓名、身份号码、位置数据、网络标识或有关其身体、生理、精神、经济、文化或社会身份的一个或多个特别因素而被识别出的个人。</w:t>
      </w:r>
    </w:p>
    <w:p w14:paraId="0A6786D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 xml:space="preserve">   “采购订单”系指公信或其关联公司发出且与工作说明书有关的正式采购订单。</w:t>
      </w:r>
    </w:p>
    <w:p w14:paraId="0A6786E0">
      <w:pPr>
        <w:pStyle w:val="3"/>
        <w:spacing w:after="0"/>
        <w:rPr>
          <w:rFonts w:hint="eastAsia" w:ascii="微软雅黑" w:hAnsi="微软雅黑" w:eastAsia="微软雅黑" w:cs="微软雅黑"/>
          <w:sz w:val="21"/>
          <w:szCs w:val="21"/>
          <w:lang w:eastAsia="zh-CN"/>
        </w:rPr>
      </w:pPr>
      <w:bookmarkStart w:id="6" w:name="OLE_LINK9"/>
      <w:bookmarkStart w:id="7" w:name="OLE_LINK10"/>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 xml:space="preserve">   “</w:t>
      </w:r>
      <w:bookmarkEnd w:id="6"/>
      <w:bookmarkEnd w:id="7"/>
      <w:r>
        <w:rPr>
          <w:rFonts w:hint="eastAsia" w:ascii="微软雅黑" w:hAnsi="微软雅黑" w:eastAsia="微软雅黑" w:cs="微软雅黑"/>
          <w:sz w:val="21"/>
          <w:szCs w:val="21"/>
          <w:lang w:eastAsia="zh-CN"/>
        </w:rPr>
        <w:t>接收方”是指从披露方接收机密信息的一方。</w:t>
      </w:r>
    </w:p>
    <w:p w14:paraId="0A6786E1">
      <w:pPr>
        <w:pStyle w:val="3"/>
        <w:spacing w:after="0"/>
        <w:rPr>
          <w:rFonts w:hint="eastAsia" w:ascii="微软雅黑" w:hAnsi="微软雅黑" w:eastAsia="微软雅黑" w:cs="微软雅黑"/>
          <w:sz w:val="21"/>
          <w:szCs w:val="21"/>
          <w:lang w:eastAsia="zh-CN"/>
        </w:rPr>
      </w:pPr>
      <w:bookmarkStart w:id="8" w:name="OLE_LINK32"/>
      <w:bookmarkStart w:id="9" w:name="OLE_LINK13"/>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eastAsia="zh-CN"/>
        </w:rPr>
        <w:t xml:space="preserve">  “</w:t>
      </w:r>
      <w:bookmarkEnd w:id="8"/>
      <w:bookmarkEnd w:id="9"/>
      <w:r>
        <w:rPr>
          <w:rFonts w:hint="eastAsia" w:ascii="微软雅黑" w:hAnsi="微软雅黑" w:eastAsia="微软雅黑" w:cs="微软雅黑"/>
          <w:sz w:val="21"/>
          <w:szCs w:val="21"/>
          <w:lang w:eastAsia="zh-CN"/>
        </w:rPr>
        <w:t>成果”应指履行本协议下活动和有效知识产权及其衍生物所产生的所有信息、材料和服务交付物。</w:t>
      </w:r>
    </w:p>
    <w:p w14:paraId="0A6786E2">
      <w:pPr>
        <w:pStyle w:val="3"/>
        <w:spacing w:after="0"/>
        <w:rPr>
          <w:rFonts w:hint="eastAsia" w:ascii="微软雅黑" w:hAnsi="微软雅黑" w:eastAsia="微软雅黑" w:cs="微软雅黑"/>
          <w:sz w:val="21"/>
          <w:szCs w:val="21"/>
          <w:lang w:eastAsia="zh-CN"/>
        </w:rPr>
      </w:pPr>
      <w:bookmarkStart w:id="10" w:name="OLE_LINK34"/>
      <w:bookmarkStart w:id="11" w:name="OLE_LINK33"/>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eastAsia="zh-CN"/>
        </w:rPr>
        <w:t xml:space="preserve">   “</w:t>
      </w:r>
      <w:bookmarkEnd w:id="10"/>
      <w:bookmarkEnd w:id="11"/>
      <w:r>
        <w:rPr>
          <w:rFonts w:hint="eastAsia" w:ascii="微软雅黑" w:hAnsi="微软雅黑" w:eastAsia="微软雅黑" w:cs="微软雅黑"/>
          <w:sz w:val="21"/>
          <w:szCs w:val="21"/>
          <w:lang w:eastAsia="zh-CN"/>
        </w:rPr>
        <w:t>附件”应指本协议所附的作为本协议一部分的任何附录、</w:t>
      </w:r>
      <w:r>
        <w:rPr>
          <w:rFonts w:hint="eastAsia" w:ascii="微软雅黑" w:hAnsi="微软雅黑" w:eastAsia="微软雅黑" w:cs="微软雅黑"/>
          <w:sz w:val="21"/>
          <w:szCs w:val="21"/>
          <w:lang w:val="en-US" w:eastAsia="zh-CN"/>
        </w:rPr>
        <w:t>报价文件、</w:t>
      </w:r>
      <w:r>
        <w:rPr>
          <w:rFonts w:hint="eastAsia" w:ascii="微软雅黑" w:hAnsi="微软雅黑" w:eastAsia="微软雅黑" w:cs="微软雅黑"/>
          <w:sz w:val="21"/>
          <w:szCs w:val="21"/>
          <w:lang w:eastAsia="zh-CN"/>
        </w:rPr>
        <w:t>工作说明书及/或附表。</w:t>
      </w:r>
    </w:p>
    <w:p w14:paraId="0A6786E3">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lang w:eastAsia="zh-CN"/>
        </w:rPr>
        <w:t xml:space="preserve">   “服务”应统一指工作说明书中所描述的服务。</w:t>
      </w:r>
    </w:p>
    <w:p w14:paraId="0A6786E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eastAsia="zh-CN"/>
        </w:rPr>
        <w:t xml:space="preserve">   “工作说明书”是指格式为本协议所附附件1且由公信或其关联公司签署的一份或多份工作说明书，</w:t>
      </w:r>
      <w:r>
        <w:rPr>
          <w:rFonts w:hint="eastAsia" w:ascii="微软雅黑" w:hAnsi="微软雅黑" w:eastAsia="微软雅黑" w:cs="微软雅黑"/>
          <w:sz w:val="21"/>
          <w:szCs w:val="21"/>
          <w:lang w:val="en-US" w:eastAsia="zh-CN"/>
        </w:rPr>
        <w:t>本协议有效期间，除双方另行书面约定外，</w:t>
      </w:r>
      <w:r>
        <w:rPr>
          <w:rFonts w:hint="eastAsia" w:ascii="微软雅黑" w:hAnsi="微软雅黑" w:eastAsia="微软雅黑" w:cs="微软雅黑"/>
          <w:sz w:val="21"/>
          <w:szCs w:val="21"/>
          <w:lang w:eastAsia="zh-CN"/>
        </w:rPr>
        <w:t>每一份</w:t>
      </w:r>
      <w:r>
        <w:rPr>
          <w:rFonts w:hint="eastAsia" w:ascii="微软雅黑" w:hAnsi="微软雅黑" w:eastAsia="微软雅黑" w:cs="微软雅黑"/>
          <w:sz w:val="21"/>
          <w:szCs w:val="21"/>
          <w:lang w:val="en-US" w:eastAsia="zh-CN"/>
        </w:rPr>
        <w:t>工作说明书及其项下订单</w:t>
      </w:r>
      <w:r>
        <w:rPr>
          <w:rFonts w:hint="eastAsia" w:ascii="微软雅黑" w:hAnsi="微软雅黑" w:eastAsia="微软雅黑" w:cs="微软雅黑"/>
          <w:sz w:val="21"/>
          <w:szCs w:val="21"/>
          <w:lang w:eastAsia="zh-CN"/>
        </w:rPr>
        <w:t>均</w:t>
      </w:r>
      <w:r>
        <w:rPr>
          <w:rFonts w:hint="eastAsia" w:ascii="微软雅黑" w:hAnsi="微软雅黑" w:eastAsia="微软雅黑" w:cs="微软雅黑"/>
          <w:sz w:val="21"/>
          <w:szCs w:val="21"/>
          <w:lang w:val="en-US" w:eastAsia="zh-CN"/>
        </w:rPr>
        <w:t>为</w:t>
      </w:r>
      <w:r>
        <w:rPr>
          <w:rFonts w:hint="eastAsia" w:ascii="微软雅黑" w:hAnsi="微软雅黑" w:eastAsia="微软雅黑" w:cs="微软雅黑"/>
          <w:sz w:val="21"/>
          <w:szCs w:val="21"/>
          <w:lang w:eastAsia="zh-CN"/>
        </w:rPr>
        <w:t>本协议</w:t>
      </w:r>
      <w:r>
        <w:rPr>
          <w:rFonts w:hint="eastAsia" w:ascii="微软雅黑" w:hAnsi="微软雅黑" w:eastAsia="微软雅黑" w:cs="微软雅黑"/>
          <w:sz w:val="21"/>
          <w:szCs w:val="21"/>
          <w:lang w:val="en-US" w:eastAsia="zh-CN"/>
        </w:rPr>
        <w:t>附件</w:t>
      </w:r>
      <w:r>
        <w:rPr>
          <w:rFonts w:hint="eastAsia" w:ascii="微软雅黑" w:hAnsi="微软雅黑" w:eastAsia="微软雅黑" w:cs="微软雅黑"/>
          <w:sz w:val="21"/>
          <w:szCs w:val="21"/>
          <w:lang w:eastAsia="zh-CN"/>
        </w:rPr>
        <w:t>。</w:t>
      </w:r>
    </w:p>
    <w:p w14:paraId="0A6786E5">
      <w:pPr>
        <w:pStyle w:val="3"/>
        <w:spacing w:after="0"/>
        <w:rPr>
          <w:rFonts w:hint="eastAsia" w:ascii="微软雅黑" w:hAnsi="微软雅黑" w:eastAsia="微软雅黑" w:cs="微软雅黑"/>
          <w:sz w:val="21"/>
          <w:szCs w:val="21"/>
          <w:lang w:eastAsia="zh-CN"/>
        </w:rPr>
      </w:pPr>
      <w:bookmarkStart w:id="12" w:name="_Ref205887488"/>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lang w:eastAsia="zh-CN"/>
        </w:rPr>
        <w:t xml:space="preserve">   “服务提供方人员”应指服务提供方的员工、分包商或代理人。</w:t>
      </w:r>
    </w:p>
    <w:p w14:paraId="0A6786E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lang w:eastAsia="zh-CN"/>
        </w:rPr>
        <w:t xml:space="preserve">   “公信数据”是指服务提供方在履行与公信、其关联公司、顾客和客户有关服务及其各自的运营、业务、设施、顾客、客户、员工、资产和以任何形式存在的产品的过程中，从服务提供方处收到或获取的所有数据和/或信息。</w:t>
      </w:r>
    </w:p>
    <w:p w14:paraId="0A6786E7">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 xml:space="preserve">   “背景知识产权”应指任何一方控制的，在本协议生效日已经存在的或是在本协议下活动中独立开发出的、且对履行本协议下活动必要的、相关的或有用的知识财产。为了本定义之目的，“控制”指拥有或有权向第三方授予访问权或许可。</w:t>
      </w:r>
    </w:p>
    <w:p w14:paraId="0A6786E8">
      <w:pPr>
        <w:pStyle w:val="3"/>
        <w:tabs>
          <w:tab w:val="left" w:pos="0"/>
        </w:tabs>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w:t>
      </w:r>
    </w:p>
    <w:p w14:paraId="0A6786E9">
      <w:pPr>
        <w:spacing w:line="360" w:lineRule="auto"/>
        <w:rPr>
          <w:rFonts w:hint="eastAsia" w:ascii="微软雅黑" w:hAnsi="微软雅黑" w:eastAsia="微软雅黑" w:cs="微软雅黑"/>
          <w:b/>
          <w:sz w:val="21"/>
          <w:szCs w:val="21"/>
          <w:lang w:eastAsia="zh-CN"/>
        </w:rPr>
      </w:pPr>
      <w:bookmarkStart w:id="13" w:name="OLE_LINK56"/>
      <w:bookmarkStart w:id="14" w:name="OLE_LINK55"/>
      <w:r>
        <w:rPr>
          <w:rFonts w:hint="eastAsia" w:ascii="微软雅黑" w:hAnsi="微软雅黑" w:eastAsia="微软雅黑" w:cs="微软雅黑"/>
          <w:b/>
          <w:sz w:val="21"/>
          <w:szCs w:val="21"/>
          <w:lang w:eastAsia="zh-CN"/>
        </w:rPr>
        <w:t xml:space="preserve">第二节   </w:t>
      </w:r>
      <w:r>
        <w:rPr>
          <w:rFonts w:hint="eastAsia" w:ascii="微软雅黑" w:hAnsi="微软雅黑" w:eastAsia="微软雅黑" w:cs="微软雅黑"/>
          <w:b/>
          <w:sz w:val="21"/>
          <w:szCs w:val="21"/>
          <w:u w:val="single"/>
          <w:lang w:eastAsia="zh-CN"/>
        </w:rPr>
        <w:t>主服务协议，工作说明书，采购订单和关联公司履行</w:t>
      </w:r>
    </w:p>
    <w:bookmarkEnd w:id="13"/>
    <w:bookmarkEnd w:id="14"/>
    <w:p w14:paraId="0A6786EA">
      <w:pPr>
        <w:spacing w:line="360" w:lineRule="auto"/>
        <w:rPr>
          <w:rFonts w:hint="eastAsia" w:ascii="微软雅黑" w:hAnsi="微软雅黑" w:eastAsia="微软雅黑" w:cs="微软雅黑"/>
          <w:sz w:val="21"/>
          <w:szCs w:val="21"/>
          <w:lang w:val="en-US" w:eastAsia="zh-CN"/>
        </w:rPr>
      </w:pPr>
    </w:p>
    <w:p w14:paraId="0A6786EB">
      <w:pPr>
        <w:pStyle w:val="3"/>
        <w:spacing w:after="0"/>
        <w:rPr>
          <w:rFonts w:hint="eastAsia" w:ascii="微软雅黑" w:hAnsi="微软雅黑" w:eastAsia="微软雅黑" w:cs="微软雅黑"/>
          <w:b/>
          <w:sz w:val="21"/>
          <w:szCs w:val="21"/>
          <w:lang w:val="en-US" w:eastAsia="en-US"/>
        </w:rPr>
      </w:pPr>
      <w:r>
        <w:rPr>
          <w:rFonts w:hint="eastAsia" w:ascii="微软雅黑" w:hAnsi="微软雅黑" w:eastAsia="微软雅黑" w:cs="微软雅黑"/>
          <w:b/>
          <w:sz w:val="21"/>
          <w:szCs w:val="21"/>
          <w:lang w:val="en-US" w:eastAsia="zh-CN"/>
        </w:rPr>
        <w:t xml:space="preserve">2.1    </w:t>
      </w:r>
      <w:r>
        <w:rPr>
          <w:rFonts w:hint="eastAsia" w:ascii="微软雅黑" w:hAnsi="微软雅黑" w:eastAsia="微软雅黑" w:cs="微软雅黑"/>
          <w:b/>
          <w:sz w:val="21"/>
          <w:szCs w:val="21"/>
          <w:lang w:val="en-US" w:eastAsia="en-US"/>
        </w:rPr>
        <w:t>主服务协议</w:t>
      </w:r>
    </w:p>
    <w:p w14:paraId="0A6786EC">
      <w:pPr>
        <w:pStyle w:val="5"/>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公信或其关联公司可能根据本协议的条款和条件不定期地指示服务提供方以项目的形式提供服务，以及附件1工作说明书的条款和条件，公信和服务提供方已协商将本协议作为一般条款和条件的主要集合。每份工作说明书均应遵守本协议的所有条款和条件，以及工作说明书中规定的具体细节。 </w:t>
      </w:r>
    </w:p>
    <w:p w14:paraId="0A6786ED">
      <w:pPr>
        <w:pStyle w:val="5"/>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公信在本协议有效期内要求新的或额外的服务，公信可将要求的服务书面通知服务提供方。在该要求之后，服务提供方应完成工作说明书并提交给公信批准和签名。一旦双方履行特定工作说明书并随后由公信发出采购订单后，该工作说明书和采购订单应被视为已接受，并通过引用纳入本协议。</w:t>
      </w:r>
    </w:p>
    <w:bookmarkEnd w:id="12"/>
    <w:p w14:paraId="0A6786EE">
      <w:pPr>
        <w:pStyle w:val="3"/>
        <w:spacing w:after="0"/>
        <w:rPr>
          <w:rFonts w:hint="eastAsia" w:ascii="微软雅黑" w:hAnsi="微软雅黑" w:eastAsia="微软雅黑" w:cs="微软雅黑"/>
          <w:b/>
          <w:sz w:val="21"/>
          <w:szCs w:val="21"/>
          <w:lang w:eastAsia="zh-CN"/>
        </w:rPr>
      </w:pPr>
      <w:bookmarkStart w:id="15" w:name="_Toc205957331"/>
      <w:bookmarkEnd w:id="15"/>
      <w:bookmarkStart w:id="16" w:name="_Toc205956469"/>
      <w:bookmarkEnd w:id="16"/>
      <w:bookmarkStart w:id="17" w:name="_Toc205956468"/>
      <w:bookmarkEnd w:id="17"/>
      <w:bookmarkStart w:id="18" w:name="_Toc205952661"/>
      <w:bookmarkEnd w:id="18"/>
      <w:bookmarkStart w:id="19" w:name="_Toc205957332"/>
      <w:bookmarkEnd w:id="19"/>
      <w:bookmarkStart w:id="20" w:name="_Toc205956467"/>
      <w:bookmarkEnd w:id="20"/>
      <w:bookmarkStart w:id="21" w:name="_Toc205956199"/>
      <w:bookmarkEnd w:id="21"/>
      <w:bookmarkStart w:id="22" w:name="_Toc205956203"/>
      <w:bookmarkEnd w:id="22"/>
      <w:bookmarkStart w:id="23" w:name="_Toc205957278"/>
      <w:bookmarkEnd w:id="23"/>
      <w:bookmarkStart w:id="24" w:name="_Toc205957279"/>
      <w:bookmarkEnd w:id="24"/>
      <w:bookmarkStart w:id="25" w:name="_Toc205956471"/>
      <w:bookmarkEnd w:id="25"/>
      <w:bookmarkStart w:id="26" w:name="_Toc205957277"/>
      <w:bookmarkEnd w:id="26"/>
      <w:bookmarkStart w:id="27" w:name="_Toc205952662"/>
      <w:bookmarkEnd w:id="27"/>
      <w:bookmarkStart w:id="28" w:name="_Toc205956201"/>
      <w:bookmarkEnd w:id="28"/>
      <w:bookmarkStart w:id="29" w:name="_Toc205957330"/>
      <w:bookmarkEnd w:id="29"/>
      <w:bookmarkStart w:id="30" w:name="_Toc205957276"/>
      <w:bookmarkEnd w:id="30"/>
      <w:bookmarkStart w:id="31" w:name="_Toc205956470"/>
      <w:bookmarkEnd w:id="31"/>
      <w:bookmarkStart w:id="32" w:name="_Toc205956200"/>
      <w:bookmarkEnd w:id="32"/>
      <w:bookmarkStart w:id="33" w:name="_Toc205952665"/>
      <w:bookmarkEnd w:id="33"/>
      <w:bookmarkStart w:id="34" w:name="_Toc205956202"/>
      <w:bookmarkEnd w:id="34"/>
      <w:bookmarkStart w:id="35" w:name="_Toc205952664"/>
      <w:bookmarkEnd w:id="35"/>
      <w:bookmarkStart w:id="36" w:name="_Toc205957280"/>
      <w:bookmarkEnd w:id="36"/>
      <w:bookmarkStart w:id="37" w:name="_Toc205957333"/>
      <w:bookmarkEnd w:id="37"/>
      <w:bookmarkStart w:id="38" w:name="_Toc205957329"/>
      <w:bookmarkEnd w:id="38"/>
      <w:bookmarkStart w:id="39" w:name="_Toc205952663"/>
      <w:bookmarkEnd w:id="39"/>
      <w:bookmarkStart w:id="40" w:name="_Ref224725158"/>
      <w:r>
        <w:rPr>
          <w:rFonts w:hint="eastAsia" w:ascii="微软雅黑" w:hAnsi="微软雅黑" w:eastAsia="微软雅黑" w:cs="微软雅黑"/>
          <w:b/>
          <w:sz w:val="21"/>
          <w:szCs w:val="21"/>
          <w:lang w:eastAsia="zh-CN"/>
        </w:rPr>
        <w:t>2.2    工作说明书的内容</w:t>
      </w:r>
    </w:p>
    <w:p w14:paraId="0A6786EF">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 每项工作说明书应规定：（i）对服务提供方所提供服务（包括向公信提供有关可交付成果）的合理详细描述（包括交付内容、交付/验收标准等），（ii）履行服务的时间安排和状态更新安排（包括可交付成果的相关截止期限和交付日期），以及（iii）此类服务成本（即报价，包括但不限于每项服务对应的单价及总价，价款计算方式）和付款时间表。</w:t>
      </w:r>
    </w:p>
    <w:p w14:paraId="0A6786F0">
      <w:pPr>
        <w:pStyle w:val="5"/>
        <w:numPr>
          <w:ilvl w:val="0"/>
          <w:numId w:val="0"/>
        </w:numPr>
        <w:spacing w:after="0"/>
        <w:rPr>
          <w:rFonts w:hint="eastAsia" w:ascii="微软雅黑" w:hAnsi="微软雅黑" w:eastAsia="微软雅黑" w:cs="微软雅黑"/>
          <w:b/>
          <w:bCs w:val="0"/>
          <w:sz w:val="21"/>
          <w:szCs w:val="21"/>
          <w:lang w:eastAsia="zh-CN"/>
        </w:rPr>
      </w:pPr>
      <w:r>
        <w:rPr>
          <w:rFonts w:hint="eastAsia" w:ascii="微软雅黑" w:hAnsi="微软雅黑" w:eastAsia="微软雅黑" w:cs="微软雅黑"/>
          <w:sz w:val="21"/>
          <w:szCs w:val="21"/>
          <w:lang w:eastAsia="zh-CN"/>
        </w:rPr>
        <w:t>报价信息应与工作说明书一同确认并据此结算，</w:t>
      </w:r>
      <w:r>
        <w:rPr>
          <w:rFonts w:hint="eastAsia" w:ascii="微软雅黑" w:hAnsi="微软雅黑" w:eastAsia="微软雅黑" w:cs="微软雅黑"/>
          <w:b/>
          <w:bCs w:val="0"/>
          <w:sz w:val="21"/>
          <w:szCs w:val="21"/>
          <w:lang w:eastAsia="zh-CN"/>
        </w:rPr>
        <w:t>如无法一同确认，双方补充约定报价信息的，应确保其对应的工作说明书唯一且有效，并注明签订时间、编号等可指向具体工作说明书的信息，该补充报价经双方</w:t>
      </w:r>
      <w:commentRangeStart w:id="0"/>
      <w:r>
        <w:rPr>
          <w:rFonts w:hint="eastAsia" w:ascii="微软雅黑" w:hAnsi="微软雅黑" w:eastAsia="微软雅黑" w:cs="微软雅黑"/>
          <w:b/>
          <w:bCs w:val="0"/>
          <w:sz w:val="21"/>
          <w:szCs w:val="21"/>
          <w:lang w:eastAsia="zh-CN"/>
        </w:rPr>
        <w:t>书面确认后</w:t>
      </w:r>
      <w:commentRangeEnd w:id="0"/>
      <w:r>
        <w:rPr>
          <w:rFonts w:hint="eastAsia" w:ascii="微软雅黑" w:hAnsi="微软雅黑" w:eastAsia="微软雅黑" w:cs="微软雅黑"/>
          <w:sz w:val="21"/>
          <w:szCs w:val="21"/>
        </w:rPr>
        <w:commentReference w:id="0"/>
      </w:r>
      <w:r>
        <w:rPr>
          <w:rFonts w:hint="eastAsia" w:ascii="微软雅黑" w:hAnsi="微软雅黑" w:eastAsia="微软雅黑" w:cs="微软雅黑"/>
          <w:b/>
          <w:bCs w:val="0"/>
          <w:sz w:val="21"/>
          <w:szCs w:val="21"/>
          <w:lang w:eastAsia="zh-CN"/>
        </w:rPr>
        <w:t>生效。未书面约定也未补充约定报价的工作说明书、报价无法指向具体工作说明书或工作说明书在提供服务前已解除/终止的，不得作为双方结算依据，服务提供方提供该工作说明书所述服务的，不向公信收取任何费用，不论公信是否已发送采购订单，已经支付的，服务提供方应按公信要求退还。</w:t>
      </w:r>
    </w:p>
    <w:p w14:paraId="0A6786F1">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b/>
          <w:bCs w:val="0"/>
          <w:sz w:val="21"/>
          <w:szCs w:val="21"/>
          <w:lang w:eastAsia="zh-CN"/>
        </w:rPr>
        <w:t>任何已书面确认的报价如需调增，均需双方另行书面确认，否则不作为结算依据，已经支付的，服务提供方应按公信要求退还。</w:t>
      </w:r>
    </w:p>
    <w:p w14:paraId="0A6786F2">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 服务提供方与公信应约定服务履行的期限以及与服务提供方将履行之服务相关的任何适用的重大节点和接受标准。服务提供方承认，遵守该期限和标准是至关重要的，且服务提供方未能遵守期限和标准将对公信造成实质性损害。一旦服务提供方知晓任何问题((i)可能导致服务延期完成或违反任何适用法规及公信规定的准则，或（ii）可能会以任何方式危及服务的成功结果，或(iii)可能负面影响公信（或其任何关联方），包括其利益和声誉，服务提供方将立即以书面方式通知公信。</w:t>
      </w:r>
    </w:p>
    <w:p w14:paraId="0A6786F3">
      <w:pPr>
        <w:pStyle w:val="5"/>
        <w:numPr>
          <w:ilvl w:val="0"/>
          <w:numId w:val="0"/>
        </w:numPr>
        <w:spacing w:after="0"/>
        <w:rPr>
          <w:rFonts w:hint="eastAsia" w:ascii="微软雅黑" w:hAnsi="微软雅黑" w:eastAsia="微软雅黑" w:cs="微软雅黑"/>
          <w:b/>
          <w:sz w:val="21"/>
          <w:szCs w:val="21"/>
        </w:rPr>
      </w:pPr>
      <w:r>
        <w:rPr>
          <w:rFonts w:hint="eastAsia" w:ascii="微软雅黑" w:hAnsi="微软雅黑" w:eastAsia="微软雅黑" w:cs="微软雅黑"/>
          <w:b/>
          <w:sz w:val="21"/>
          <w:szCs w:val="21"/>
          <w:lang w:eastAsia="zh-CN"/>
        </w:rPr>
        <w:t xml:space="preserve">2.3     </w:t>
      </w:r>
      <w:r>
        <w:rPr>
          <w:rFonts w:hint="eastAsia" w:ascii="微软雅黑" w:hAnsi="微软雅黑" w:eastAsia="微软雅黑" w:cs="微软雅黑"/>
          <w:b/>
          <w:sz w:val="21"/>
          <w:szCs w:val="21"/>
        </w:rPr>
        <w:t>采购订单的确认</w:t>
      </w:r>
    </w:p>
    <w:p w14:paraId="0A6786F4">
      <w:pPr>
        <w:pStyle w:val="5"/>
        <w:numPr>
          <w:ilvl w:val="0"/>
          <w:numId w:val="9"/>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公信已经签发了关于双方所签署工作说明书的有效采购订单，服务提供方将按照工作说明书的更详细规定向公信及其关联公司提供服务。此类采购订单将附在适用的工作说明书上，并且在签署该工作说明书后，通过引用纳入本协议，</w:t>
      </w:r>
      <w:r>
        <w:rPr>
          <w:rFonts w:hint="eastAsia" w:ascii="微软雅黑" w:hAnsi="微软雅黑" w:eastAsia="微软雅黑" w:cs="微软雅黑"/>
          <w:b/>
          <w:bCs w:val="0"/>
          <w:sz w:val="21"/>
          <w:szCs w:val="21"/>
          <w:lang w:eastAsia="zh-CN"/>
        </w:rPr>
        <w:t>采购订单应采用书面形式</w:t>
      </w:r>
      <w:r>
        <w:rPr>
          <w:rFonts w:hint="eastAsia" w:ascii="微软雅黑" w:hAnsi="微软雅黑" w:eastAsia="微软雅黑" w:cs="微软雅黑"/>
          <w:sz w:val="21"/>
          <w:szCs w:val="21"/>
          <w:lang w:eastAsia="zh-CN"/>
        </w:rPr>
        <w:t>，</w:t>
      </w:r>
      <w:commentRangeStart w:id="1"/>
      <w:r>
        <w:rPr>
          <w:rFonts w:hint="eastAsia" w:ascii="微软雅黑" w:hAnsi="微软雅黑" w:eastAsia="微软雅黑" w:cs="微软雅黑"/>
          <w:sz w:val="21"/>
          <w:szCs w:val="21"/>
          <w:lang w:eastAsia="zh-CN"/>
        </w:rPr>
        <w:t>如通过公信指定的授权代表邮箱发送的，邮件到达服务提供方确认人邮箱</w:t>
      </w:r>
      <w:r>
        <w:rPr>
          <w:rFonts w:hint="eastAsia" w:ascii="微软雅黑" w:hAnsi="微软雅黑" w:eastAsia="微软雅黑" w:cs="微软雅黑"/>
          <w:sz w:val="21"/>
          <w:szCs w:val="21"/>
          <w:highlight w:val="yellow"/>
          <w:lang w:eastAsia="zh-CN"/>
        </w:rPr>
        <w:t>（填邮箱地址）</w:t>
      </w:r>
      <w:r>
        <w:rPr>
          <w:rFonts w:hint="eastAsia" w:ascii="微软雅黑" w:hAnsi="微软雅黑" w:eastAsia="微软雅黑" w:cs="微软雅黑"/>
          <w:sz w:val="21"/>
          <w:szCs w:val="21"/>
          <w:lang w:eastAsia="zh-CN"/>
        </w:rPr>
        <w:t>的，服务提供方即应履行，公信要求变更或撤回订单的，服务提供方应予配合。</w:t>
      </w:r>
      <w:commentRangeEnd w:id="1"/>
      <w:r>
        <w:rPr>
          <w:rFonts w:hint="eastAsia" w:ascii="微软雅黑" w:hAnsi="微软雅黑" w:eastAsia="微软雅黑" w:cs="微软雅黑"/>
          <w:sz w:val="21"/>
          <w:szCs w:val="21"/>
        </w:rPr>
        <w:commentReference w:id="1"/>
      </w:r>
    </w:p>
    <w:p w14:paraId="0A6786F5">
      <w:pPr>
        <w:pStyle w:val="5"/>
        <w:numPr>
          <w:ilvl w:val="255"/>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采购订单包含报价信息的，应与工作说明书对应服务的报价保持一致，除双方另有书面约定外，公信通过邮件</w:t>
      </w:r>
      <w:r>
        <w:rPr>
          <w:rFonts w:hint="eastAsia" w:ascii="微软雅黑" w:hAnsi="微软雅黑" w:eastAsia="微软雅黑" w:cs="微软雅黑"/>
          <w:b/>
          <w:bCs w:val="0"/>
          <w:sz w:val="21"/>
          <w:szCs w:val="21"/>
          <w:lang w:eastAsia="zh-CN"/>
        </w:rPr>
        <w:t>发出的采购订单超出工作说明书约定或补充约定的部分不应支付，已经支付的，由服务提供方按照公信的要求退还。</w:t>
      </w:r>
    </w:p>
    <w:p w14:paraId="0A6786F6">
      <w:pPr>
        <w:pStyle w:val="5"/>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除本协议的服务外，在不收取额外报酬及费用的前提下，服务提供方应提供本协议未具体规定的，但属于固有或必要的，或通常由履行服务一方履行的任何其他服务、职能和义务，或者被要求适当履行产生于本协议和工作说明书或与之相关的义务。</w:t>
      </w:r>
    </w:p>
    <w:p w14:paraId="0A6786F7">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val="en-US" w:eastAsia="zh-CN"/>
        </w:rPr>
        <w:t xml:space="preserve">2.4     </w:t>
      </w:r>
      <w:r>
        <w:rPr>
          <w:rFonts w:hint="eastAsia" w:ascii="微软雅黑" w:hAnsi="微软雅黑" w:eastAsia="微软雅黑" w:cs="微软雅黑"/>
          <w:b/>
          <w:sz w:val="21"/>
          <w:szCs w:val="21"/>
          <w:lang w:eastAsia="zh-CN"/>
        </w:rPr>
        <w:t>主服务协议、工作说明书和采购订单之间的关系</w:t>
      </w:r>
    </w:p>
    <w:p w14:paraId="0A6786F8">
      <w:pPr>
        <w:pStyle w:val="3"/>
        <w:spacing w:after="0"/>
        <w:rPr>
          <w:rFonts w:hint="eastAsia" w:ascii="微软雅黑" w:hAnsi="微软雅黑" w:eastAsia="微软雅黑" w:cs="微软雅黑"/>
          <w:spacing w:val="-3"/>
          <w:sz w:val="21"/>
          <w:szCs w:val="21"/>
          <w:lang w:eastAsia="zh-CN"/>
        </w:rPr>
      </w:pPr>
      <w:bookmarkStart w:id="41" w:name="OLE_LINK82"/>
      <w:bookmarkStart w:id="42" w:name="OLE_LINK81"/>
      <w:r>
        <w:rPr>
          <w:rFonts w:hint="eastAsia" w:ascii="微软雅黑" w:hAnsi="微软雅黑" w:eastAsia="微软雅黑" w:cs="微软雅黑"/>
          <w:spacing w:val="-3"/>
          <w:sz w:val="21"/>
          <w:szCs w:val="21"/>
          <w:lang w:val="en-US" w:eastAsia="zh-CN"/>
        </w:rPr>
        <w:t>工作说明书和采购订单均为主服务协议的附件，具有同等法律效力，</w:t>
      </w:r>
      <w:r>
        <w:rPr>
          <w:rFonts w:hint="eastAsia" w:ascii="微软雅黑" w:hAnsi="微软雅黑" w:eastAsia="微软雅黑" w:cs="微软雅黑"/>
          <w:spacing w:val="-3"/>
          <w:sz w:val="21"/>
          <w:szCs w:val="21"/>
          <w:lang w:eastAsia="zh-CN"/>
        </w:rPr>
        <w:t>除适用的工作说明书或采购订单</w:t>
      </w:r>
      <w:r>
        <w:rPr>
          <w:rFonts w:hint="eastAsia" w:ascii="微软雅黑" w:hAnsi="微软雅黑" w:eastAsia="微软雅黑" w:cs="微软雅黑"/>
          <w:spacing w:val="-3"/>
          <w:sz w:val="21"/>
          <w:szCs w:val="21"/>
          <w:lang w:val="en-US" w:eastAsia="zh-CN"/>
        </w:rPr>
        <w:t>另有明确约定外，主服务协议已经约定的内容，按照主服务协议执行，主服务协议没有约定或约定不明的，以工作说明书和采购订单约定为准。</w:t>
      </w:r>
    </w:p>
    <w:p w14:paraId="0A6786F9">
      <w:pPr>
        <w:spacing w:line="360" w:lineRule="auto"/>
        <w:rPr>
          <w:rFonts w:hint="eastAsia" w:ascii="微软雅黑" w:hAnsi="微软雅黑" w:eastAsia="微软雅黑" w:cs="微软雅黑"/>
          <w:sz w:val="21"/>
          <w:szCs w:val="21"/>
          <w:lang w:eastAsia="zh-CN"/>
        </w:rPr>
      </w:pPr>
    </w:p>
    <w:bookmarkEnd w:id="40"/>
    <w:bookmarkEnd w:id="41"/>
    <w:bookmarkEnd w:id="42"/>
    <w:p w14:paraId="0A6786FA">
      <w:pPr>
        <w:spacing w:line="360" w:lineRule="auto"/>
        <w:rPr>
          <w:rFonts w:hint="eastAsia" w:ascii="微软雅黑" w:hAnsi="微软雅黑" w:eastAsia="微软雅黑" w:cs="微软雅黑"/>
          <w:b/>
          <w:sz w:val="21"/>
          <w:szCs w:val="21"/>
          <w:u w:val="single"/>
          <w:lang w:eastAsia="zh-CN"/>
        </w:rPr>
      </w:pPr>
      <w:r>
        <w:rPr>
          <w:rFonts w:hint="eastAsia" w:ascii="微软雅黑" w:hAnsi="微软雅黑" w:eastAsia="微软雅黑" w:cs="微软雅黑"/>
          <w:b/>
          <w:sz w:val="21"/>
          <w:szCs w:val="21"/>
          <w:lang w:eastAsia="zh-CN"/>
        </w:rPr>
        <w:t xml:space="preserve">第三节    </w:t>
      </w:r>
      <w:r>
        <w:rPr>
          <w:rFonts w:hint="eastAsia" w:ascii="微软雅黑" w:hAnsi="微软雅黑" w:eastAsia="微软雅黑" w:cs="微软雅黑"/>
          <w:b/>
          <w:sz w:val="21"/>
          <w:szCs w:val="21"/>
          <w:u w:val="single"/>
          <w:lang w:eastAsia="zh-CN"/>
        </w:rPr>
        <w:t>履行服务—双方间关系</w:t>
      </w:r>
    </w:p>
    <w:p w14:paraId="0A6786FB">
      <w:pPr>
        <w:spacing w:line="360" w:lineRule="auto"/>
        <w:rPr>
          <w:rFonts w:hint="eastAsia" w:ascii="微软雅黑" w:hAnsi="微软雅黑" w:eastAsia="微软雅黑" w:cs="微软雅黑"/>
          <w:sz w:val="21"/>
          <w:szCs w:val="21"/>
          <w:lang w:val="en-US" w:eastAsia="zh-CN"/>
        </w:rPr>
      </w:pPr>
    </w:p>
    <w:p w14:paraId="0A6786FC">
      <w:pPr>
        <w:pStyle w:val="3"/>
        <w:tabs>
          <w:tab w:val="left" w:pos="0"/>
          <w:tab w:val="clear" w:pos="624"/>
        </w:tabs>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3.1      服务</w:t>
      </w:r>
    </w:p>
    <w:p w14:paraId="0A6786FD">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除非本协议中另有明确规定，服务提供方应负责提供并维系设施、系统以及提供服务所需的其他资源。对于未在本协议中具体规定或在适用的工作说明书中列明的作为公信责任的服务，不得要求公信履行与之相关的任何任务。服务提供方应根据最佳行业实践提供服务并履行来自或与本协议、任何工作说明书有关的所有其他义务。</w:t>
      </w:r>
    </w:p>
    <w:p w14:paraId="0A6786FE">
      <w:pPr>
        <w:pStyle w:val="3"/>
        <w:tabs>
          <w:tab w:val="left" w:pos="0"/>
          <w:tab w:val="clear" w:pos="624"/>
        </w:tabs>
        <w:spacing w:after="0"/>
        <w:rPr>
          <w:rFonts w:hint="eastAsia" w:ascii="微软雅黑" w:hAnsi="微软雅黑" w:eastAsia="微软雅黑" w:cs="微软雅黑"/>
          <w:b/>
          <w:sz w:val="21"/>
          <w:szCs w:val="21"/>
        </w:rPr>
      </w:pPr>
      <w:r>
        <w:rPr>
          <w:rFonts w:hint="eastAsia" w:ascii="微软雅黑" w:hAnsi="微软雅黑" w:eastAsia="微软雅黑" w:cs="微软雅黑"/>
          <w:b/>
          <w:sz w:val="21"/>
          <w:szCs w:val="21"/>
          <w:lang w:eastAsia="zh-CN"/>
        </w:rPr>
        <w:t xml:space="preserve">3.2      </w:t>
      </w:r>
      <w:r>
        <w:rPr>
          <w:rFonts w:hint="eastAsia" w:ascii="微软雅黑" w:hAnsi="微软雅黑" w:eastAsia="微软雅黑" w:cs="微软雅黑"/>
          <w:b/>
          <w:sz w:val="21"/>
          <w:szCs w:val="21"/>
        </w:rPr>
        <w:t>服务提供方人员</w:t>
      </w:r>
    </w:p>
    <w:p w14:paraId="0A6786FF">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 xml:space="preserve">  </w:t>
      </w:r>
      <w:r>
        <w:rPr>
          <w:rFonts w:hint="eastAsia" w:ascii="微软雅黑" w:hAnsi="微软雅黑" w:eastAsia="微软雅黑" w:cs="微软雅黑"/>
          <w:sz w:val="21"/>
          <w:szCs w:val="21"/>
          <w:lang w:eastAsia="zh-CN"/>
        </w:rPr>
        <w:t>服务提供方保证，分配至履行本服务的服务提供方人员应具有按照本协议履行服务所需的所有技能和资格。在履行服务时，服务提供方应安排经过充分培训，有资格且有经验的服务提供方人员以履行此类服务。</w:t>
      </w:r>
    </w:p>
    <w:p w14:paraId="0A678700">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如果公信根据其合理判断，因任何原因对提供方人员的服务履行感到不满，服务提供方应立即调离该等提供方人员并及时提供合格的人员替换。</w:t>
      </w:r>
    </w:p>
    <w:p w14:paraId="0A678701">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在执行服务的任何时候，服务提供方应作为独立缔约方行事。本协议不得被解释为创设了或构成了双方间的合伙、合资或代理关系。服务提供方确认，其已采取必要措施以满足与其身份和其服务提供方人员相关的所有适用的社会、财务及其他法律义务。</w:t>
      </w:r>
    </w:p>
    <w:p w14:paraId="0A678702">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根据服务提供方的排他权利，服务提供方人员应被视为仅作为服务提供方的员工或承包方工作。公信不会对服务提供方人员行使部分或完整的雇主权力，任何服务提供方人员都不会按照公信员工标准行事，也不会认为自己是公信的员工，因为他们与公信的关系并非依据就业协议建立的。</w:t>
      </w:r>
    </w:p>
    <w:p w14:paraId="0A678703">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双方确认并同意，公信根据本协议或相关工作说明书或采购订单向服务提供方人员作出的指示不得解释或理解为公信对服务提供方人员行使权力。</w:t>
      </w:r>
    </w:p>
    <w:p w14:paraId="0A678704">
      <w:pPr>
        <w:pStyle w:val="3"/>
        <w:tabs>
          <w:tab w:val="left" w:pos="0"/>
          <w:tab w:val="clear" w:pos="624"/>
        </w:tabs>
        <w:spacing w:after="0"/>
        <w:rPr>
          <w:rFonts w:hint="eastAsia" w:ascii="微软雅黑" w:hAnsi="微软雅黑" w:eastAsia="微软雅黑" w:cs="微软雅黑"/>
          <w:b/>
          <w:sz w:val="21"/>
          <w:szCs w:val="21"/>
        </w:rPr>
      </w:pPr>
      <w:r>
        <w:rPr>
          <w:rFonts w:hint="eastAsia" w:ascii="微软雅黑" w:hAnsi="微软雅黑" w:eastAsia="微软雅黑" w:cs="微软雅黑"/>
          <w:b/>
          <w:sz w:val="21"/>
          <w:szCs w:val="21"/>
          <w:lang w:eastAsia="zh-CN"/>
        </w:rPr>
        <w:t xml:space="preserve">3.3    </w:t>
      </w:r>
      <w:r>
        <w:rPr>
          <w:rFonts w:hint="eastAsia" w:ascii="微软雅黑" w:hAnsi="微软雅黑" w:eastAsia="微软雅黑" w:cs="微软雅黑"/>
          <w:b/>
          <w:sz w:val="21"/>
          <w:szCs w:val="21"/>
        </w:rPr>
        <w:t>其他</w:t>
      </w:r>
    </w:p>
    <w:p w14:paraId="0A678705">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 xml:space="preserve"> </w:t>
      </w:r>
      <w:r>
        <w:rPr>
          <w:rFonts w:hint="eastAsia" w:ascii="微软雅黑" w:hAnsi="微软雅黑" w:eastAsia="微软雅黑" w:cs="微软雅黑"/>
          <w:sz w:val="21"/>
          <w:szCs w:val="21"/>
          <w:lang w:eastAsia="zh-CN"/>
        </w:rPr>
        <w:t>除非公信另有授权，服务提供方及服务提供方人员无权向任何与公信签订了协议的第三方发出指示。</w:t>
      </w:r>
    </w:p>
    <w:p w14:paraId="0A678706">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服务提供方无权代表公信行事、约束公信或</w:t>
      </w:r>
      <w:r>
        <w:rPr>
          <w:rFonts w:hint="eastAsia" w:ascii="微软雅黑" w:hAnsi="微软雅黑" w:eastAsia="微软雅黑" w:cs="微软雅黑"/>
          <w:sz w:val="21"/>
          <w:szCs w:val="21"/>
          <w:lang w:val="en-US" w:eastAsia="zh-CN"/>
        </w:rPr>
        <w:t>要求</w:t>
      </w:r>
      <w:r>
        <w:rPr>
          <w:rFonts w:hint="eastAsia" w:ascii="微软雅黑" w:hAnsi="微软雅黑" w:eastAsia="微软雅黑" w:cs="微软雅黑"/>
          <w:sz w:val="21"/>
          <w:szCs w:val="21"/>
          <w:lang w:eastAsia="zh-CN"/>
        </w:rPr>
        <w:t>公信承担责任，除非公信已事先授予其书面委托书。</w:t>
      </w:r>
    </w:p>
    <w:p w14:paraId="0A678707">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如果服务将在公信的场地履行，公信还应向提供方人员提供合理的工作空间。</w:t>
      </w:r>
    </w:p>
    <w:p w14:paraId="0A678708">
      <w:pPr>
        <w:pStyle w:val="3"/>
        <w:numPr>
          <w:ilvl w:val="0"/>
          <w:numId w:val="11"/>
        </w:numPr>
        <w:spacing w:after="0"/>
        <w:ind w:left="0" w:firstLine="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如果服务将在公信的场地履行或使用公信的设施，则服务提供方应（并应确保其人员）遵守所有规则、指示和程序，包括但不限于与安全和工作场所健康、安全有关的。</w:t>
      </w:r>
      <w:r>
        <w:rPr>
          <w:rFonts w:hint="eastAsia" w:ascii="微软雅黑" w:hAnsi="微软雅黑" w:eastAsia="微软雅黑" w:cs="微软雅黑"/>
          <w:sz w:val="21"/>
          <w:szCs w:val="21"/>
        </w:rPr>
        <w:t>该规则对</w:t>
      </w:r>
      <w:r>
        <w:rPr>
          <w:rFonts w:hint="eastAsia" w:ascii="微软雅黑" w:hAnsi="微软雅黑" w:eastAsia="微软雅黑" w:cs="微软雅黑"/>
          <w:sz w:val="21"/>
          <w:szCs w:val="21"/>
          <w:lang w:eastAsia="zh-CN"/>
        </w:rPr>
        <w:t>公信</w:t>
      </w:r>
      <w:r>
        <w:rPr>
          <w:rFonts w:hint="eastAsia" w:ascii="微软雅黑" w:hAnsi="微软雅黑" w:eastAsia="微软雅黑" w:cs="微软雅黑"/>
          <w:sz w:val="21"/>
          <w:szCs w:val="21"/>
        </w:rPr>
        <w:t>的场所同样适用。</w:t>
      </w:r>
    </w:p>
    <w:p w14:paraId="0A678709">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一旦公信要求，服务提供方应提供有关服务的状态更新及/或任何公信合理要求的有关服务的报告或信息。</w:t>
      </w:r>
    </w:p>
    <w:p w14:paraId="0A67870A">
      <w:pPr>
        <w:pStyle w:val="3"/>
        <w:spacing w:after="0"/>
        <w:rPr>
          <w:rFonts w:hint="eastAsia" w:ascii="微软雅黑" w:hAnsi="微软雅黑" w:eastAsia="微软雅黑" w:cs="微软雅黑"/>
          <w:sz w:val="21"/>
          <w:szCs w:val="21"/>
          <w:lang w:eastAsia="zh-CN"/>
        </w:rPr>
      </w:pPr>
    </w:p>
    <w:p w14:paraId="0A67870B">
      <w:pPr>
        <w:spacing w:line="360" w:lineRule="auto"/>
        <w:rPr>
          <w:rFonts w:hint="eastAsia" w:ascii="微软雅黑" w:hAnsi="微软雅黑" w:eastAsia="微软雅黑" w:cs="微软雅黑"/>
          <w:b/>
          <w:sz w:val="21"/>
          <w:szCs w:val="21"/>
          <w:lang w:eastAsia="zh-CN"/>
        </w:rPr>
      </w:pPr>
      <w:bookmarkStart w:id="43" w:name="OLE_LINK111"/>
      <w:bookmarkStart w:id="44" w:name="OLE_LINK110"/>
      <w:r>
        <w:rPr>
          <w:rFonts w:hint="eastAsia" w:ascii="微软雅黑" w:hAnsi="微软雅黑" w:eastAsia="微软雅黑" w:cs="微软雅黑"/>
          <w:b/>
          <w:sz w:val="21"/>
          <w:szCs w:val="21"/>
          <w:lang w:eastAsia="zh-CN"/>
        </w:rPr>
        <w:t xml:space="preserve">第四节    </w:t>
      </w:r>
      <w:r>
        <w:rPr>
          <w:rFonts w:hint="eastAsia" w:ascii="微软雅黑" w:hAnsi="微软雅黑" w:eastAsia="微软雅黑" w:cs="微软雅黑"/>
          <w:b/>
          <w:sz w:val="21"/>
          <w:szCs w:val="21"/>
          <w:u w:val="single"/>
          <w:lang w:eastAsia="zh-CN"/>
        </w:rPr>
        <w:t>个人信息</w:t>
      </w:r>
    </w:p>
    <w:bookmarkEnd w:id="43"/>
    <w:bookmarkEnd w:id="44"/>
    <w:p w14:paraId="0A67870C">
      <w:pPr>
        <w:spacing w:line="360" w:lineRule="auto"/>
        <w:rPr>
          <w:rFonts w:hint="eastAsia" w:ascii="微软雅黑" w:hAnsi="微软雅黑" w:eastAsia="微软雅黑" w:cs="微软雅黑"/>
          <w:sz w:val="21"/>
          <w:szCs w:val="21"/>
          <w:lang w:val="en-US" w:eastAsia="zh-CN"/>
        </w:rPr>
      </w:pPr>
    </w:p>
    <w:p w14:paraId="0A67870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4.1    如果服务提供方在履行服务时处理个人信息，服务提供方承诺严格遵循所有适用的数据隐私法律和法规，包括但不限于通知个人对其个人信息的处理，以遵守目的限制、必要性及比例原则，以及向有权的数据保护部门完成并维系所有必要的注册或通知。服务提供方应随时就其未能遵循其在本条下的义务而引起的第三方索赔对公信进行补偿、为公信辩护并使公信免受任何损害。</w:t>
      </w:r>
    </w:p>
    <w:p w14:paraId="0A67870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4.2    如果服务提供方发现或被通知违反公信机密信息安全性的行为，服务提供方应立即（（a）通知公信此类违约或潜在违约行为，以及（b）如果发生此类违约时，可适用的公信数据属于服务提供方，服务提供方应（i）调查和纠正违约行为的影响，以及（ii）在不影响公信根据协议可能存在的任何其他补救措施的情况下，向公信提供令公信满意的保证，保证此类违约不会再发生。任何公信数据不得由服务提供方或服务提供方人员或任何服务提供方代理人或其员工出售、转让、出租或以其他方式处分给第三方，或由/代表服务提供方或服务提供方人员或任何服务提供方代理人或其员工进行商业利用。</w:t>
      </w:r>
    </w:p>
    <w:p w14:paraId="0A67870F">
      <w:pPr>
        <w:spacing w:line="360" w:lineRule="auto"/>
        <w:rPr>
          <w:rFonts w:hint="eastAsia" w:ascii="微软雅黑" w:hAnsi="微软雅黑" w:eastAsia="微软雅黑" w:cs="微软雅黑"/>
          <w:sz w:val="21"/>
          <w:szCs w:val="21"/>
          <w:lang w:eastAsia="zh-CN"/>
        </w:rPr>
      </w:pPr>
    </w:p>
    <w:p w14:paraId="0A678710">
      <w:pPr>
        <w:spacing w:line="360" w:lineRule="auto"/>
        <w:rPr>
          <w:rFonts w:hint="eastAsia" w:ascii="微软雅黑" w:hAnsi="微软雅黑" w:eastAsia="微软雅黑" w:cs="微软雅黑"/>
          <w:b/>
          <w:sz w:val="21"/>
          <w:szCs w:val="21"/>
          <w:lang w:eastAsia="zh-CN"/>
        </w:rPr>
      </w:pPr>
      <w:bookmarkStart w:id="45" w:name="_Ref224724646"/>
      <w:r>
        <w:rPr>
          <w:rFonts w:hint="eastAsia" w:ascii="微软雅黑" w:hAnsi="微软雅黑" w:eastAsia="微软雅黑" w:cs="微软雅黑"/>
          <w:b/>
          <w:sz w:val="21"/>
          <w:szCs w:val="21"/>
          <w:lang w:eastAsia="zh-CN"/>
        </w:rPr>
        <w:t xml:space="preserve">第5节    </w:t>
      </w:r>
      <w:r>
        <w:rPr>
          <w:rFonts w:hint="eastAsia" w:ascii="微软雅黑" w:hAnsi="微软雅黑" w:eastAsia="微软雅黑" w:cs="微软雅黑"/>
          <w:b/>
          <w:sz w:val="21"/>
          <w:szCs w:val="21"/>
          <w:u w:val="single"/>
          <w:lang w:eastAsia="zh-CN"/>
        </w:rPr>
        <w:t>财务条款</w:t>
      </w:r>
    </w:p>
    <w:bookmarkEnd w:id="45"/>
    <w:p w14:paraId="0A678711">
      <w:pPr>
        <w:spacing w:line="360" w:lineRule="auto"/>
        <w:rPr>
          <w:rFonts w:hint="eastAsia" w:ascii="微软雅黑" w:hAnsi="微软雅黑" w:eastAsia="微软雅黑" w:cs="微软雅黑"/>
          <w:sz w:val="21"/>
          <w:szCs w:val="21"/>
          <w:lang w:val="en-US" w:eastAsia="zh-CN"/>
        </w:rPr>
      </w:pPr>
    </w:p>
    <w:p w14:paraId="0A67871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5.1    费用、代付成本、开票及支付条款在每份相应的工作说明中确定。公信无义务支付任何超出每份工作说明书中应付费用总额或代付成本的金额。</w:t>
      </w:r>
      <w:r>
        <w:rPr>
          <w:rFonts w:hint="eastAsia" w:ascii="微软雅黑" w:hAnsi="微软雅黑" w:eastAsia="微软雅黑" w:cs="微软雅黑"/>
          <w:b/>
          <w:bCs w:val="0"/>
          <w:sz w:val="21"/>
          <w:szCs w:val="21"/>
          <w:lang w:eastAsia="zh-CN"/>
        </w:rPr>
        <w:t>所有没有经公信事先</w:t>
      </w:r>
      <w:r>
        <w:rPr>
          <w:rFonts w:hint="eastAsia" w:ascii="微软雅黑" w:hAnsi="微软雅黑" w:eastAsia="微软雅黑" w:cs="微软雅黑"/>
          <w:b/>
          <w:bCs w:val="0"/>
          <w:sz w:val="21"/>
          <w:szCs w:val="21"/>
          <w:lang w:val="en-US" w:eastAsia="zh-CN"/>
        </w:rPr>
        <w:t>同意的采购订单（包括但不限于订单发送人没有代理权、超越代理权的行为，除非该行为被公信明示追认），或未按约定单价或计算方式计算</w:t>
      </w:r>
      <w:r>
        <w:rPr>
          <w:rFonts w:hint="eastAsia" w:ascii="微软雅黑" w:hAnsi="微软雅黑" w:eastAsia="微软雅黑" w:cs="微软雅黑"/>
          <w:b/>
          <w:bCs w:val="0"/>
          <w:sz w:val="21"/>
          <w:szCs w:val="21"/>
          <w:lang w:eastAsia="zh-CN"/>
        </w:rPr>
        <w:t>的费用应由服务提供方自行承担</w:t>
      </w:r>
      <w:r>
        <w:rPr>
          <w:rFonts w:hint="eastAsia" w:ascii="微软雅黑" w:hAnsi="微软雅黑" w:eastAsia="微软雅黑" w:cs="微软雅黑"/>
          <w:sz w:val="21"/>
          <w:szCs w:val="21"/>
          <w:lang w:eastAsia="zh-CN"/>
        </w:rPr>
        <w:t>。双方在此同意，</w:t>
      </w:r>
      <w:r>
        <w:rPr>
          <w:rFonts w:hint="eastAsia" w:ascii="微软雅黑" w:hAnsi="微软雅黑" w:eastAsia="微软雅黑" w:cs="微软雅黑"/>
          <w:sz w:val="21"/>
          <w:szCs w:val="21"/>
          <w:lang w:val="en-US" w:eastAsia="zh-CN"/>
        </w:rPr>
        <w:t>公信支付前，</w:t>
      </w:r>
      <w:r>
        <w:rPr>
          <w:rFonts w:hint="eastAsia" w:ascii="微软雅黑" w:hAnsi="微软雅黑" w:eastAsia="微软雅黑" w:cs="微软雅黑"/>
          <w:b/>
          <w:bCs w:val="0"/>
          <w:sz w:val="21"/>
          <w:szCs w:val="21"/>
          <w:lang w:val="en-US" w:eastAsia="zh-CN"/>
        </w:rPr>
        <w:t>服务提供方应向公信提供付款申请、采购订单、交付成果、费用计算依据及其他公信要求的材料以便双方对账，公信对交付物验收合格（仅作为支付依据，公信不对交付物质量合格、不侵犯第三方合法权利等做专业判断，不因验收合格免除服务提供方的任何质量保证、不侵权等违约责任）、双方书面确认对账金额无误后方可结算，虽有前述验收和对账，如支付后的任何时间内公信发现交付物不符合合同约定或支付金额计算错误（包括但不限于误载、未按约定单价或数量计算、重复计算）等原因导致公信已支付金额大于应付金额的，服务提供方应在接到公信书面要求后15日内退还多付金额</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为了协助公信符合其内部财务流程惯例，发票将不被支付，如果发票不包含：（i）相关工作说明书编号，（ii）相关采购订单编号，（iii）所提供服务的性质和金额的详细细目，（iii）公信的增值税号，以及（iv）若有 ，服务提供方的增值税号。</w:t>
      </w:r>
    </w:p>
    <w:p w14:paraId="0A678713">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5.2   在履行服务的任何时候，一旦公信要求，服务提供方将向公信提供一份有关所有费用、代付成本及旅费的更新说明，以及任何相关的支持性文件。</w:t>
      </w:r>
    </w:p>
    <w:p w14:paraId="0A67871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5.3    如果公信没有就所开的发票或所提供的服务提出合理反对意见，根据本协议，发票的金额将由公信支付至服务提供方指定的银行帐号，支付日期在下述后</w:t>
      </w:r>
      <w:r>
        <w:rPr>
          <w:rFonts w:hint="eastAsia" w:ascii="微软雅黑" w:hAnsi="微软雅黑" w:eastAsia="微软雅黑" w:cs="微软雅黑"/>
          <w:sz w:val="21"/>
          <w:szCs w:val="21"/>
          <w:highlight w:val="yellow"/>
          <w:lang w:eastAsia="zh-CN"/>
        </w:rPr>
        <w:t>90</w:t>
      </w:r>
      <w:r>
        <w:rPr>
          <w:rFonts w:hint="eastAsia" w:ascii="微软雅黑" w:hAnsi="微软雅黑" w:eastAsia="微软雅黑" w:cs="微软雅黑"/>
          <w:sz w:val="21"/>
          <w:szCs w:val="21"/>
          <w:lang w:eastAsia="zh-CN"/>
        </w:rPr>
        <w:t>天内：（i）公信收到相关发票的日期 ; 及（ii）有关服务已履行日期。</w:t>
      </w:r>
    </w:p>
    <w:p w14:paraId="0A678715">
      <w:pPr>
        <w:spacing w:line="360" w:lineRule="auto"/>
        <w:rPr>
          <w:rFonts w:hint="eastAsia" w:ascii="微软雅黑" w:hAnsi="微软雅黑" w:eastAsia="微软雅黑" w:cs="微软雅黑"/>
          <w:sz w:val="21"/>
          <w:szCs w:val="21"/>
          <w:lang w:eastAsia="zh-CN"/>
        </w:rPr>
      </w:pPr>
    </w:p>
    <w:p w14:paraId="0A678716">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第6节     </w:t>
      </w:r>
      <w:r>
        <w:rPr>
          <w:rFonts w:hint="eastAsia" w:ascii="微软雅黑" w:hAnsi="微软雅黑" w:eastAsia="微软雅黑" w:cs="微软雅黑"/>
          <w:b/>
          <w:sz w:val="21"/>
          <w:szCs w:val="21"/>
          <w:u w:val="single"/>
          <w:lang w:eastAsia="zh-CN"/>
        </w:rPr>
        <w:t>医护合规与药物安全警戒</w:t>
      </w:r>
    </w:p>
    <w:p w14:paraId="0A678717">
      <w:pPr>
        <w:pStyle w:val="4"/>
        <w:numPr>
          <w:ilvl w:val="0"/>
          <w:numId w:val="0"/>
        </w:numPr>
        <w:spacing w:line="360" w:lineRule="auto"/>
        <w:rPr>
          <w:rFonts w:hint="eastAsia" w:ascii="微软雅黑" w:hAnsi="微软雅黑" w:eastAsia="微软雅黑" w:cs="微软雅黑"/>
          <w:sz w:val="21"/>
          <w:szCs w:val="21"/>
          <w:lang w:val="en-GB" w:eastAsia="zh-CN"/>
        </w:rPr>
      </w:pPr>
    </w:p>
    <w:p w14:paraId="0A678718">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6.1      服务提供方向医护专业人员的付款</w:t>
      </w:r>
    </w:p>
    <w:p w14:paraId="0A67871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服务提供方承认医药行业受到高度监管的特性，因此服务提供方不得代表公信向任何医护专业人员进行支付或提供好处。</w:t>
      </w:r>
    </w:p>
    <w:p w14:paraId="0A67871A">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6.2      药物安全警戒</w:t>
      </w:r>
    </w:p>
    <w:p w14:paraId="0A67871B">
      <w:pPr>
        <w:pStyle w:val="3"/>
        <w:spacing w:after="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如果在履行服务时，服务提供方可能会意识到有关公信产品的不良事件，服务提供方及（视情况而定）代表其行事的任何人应当遵守工作说明书中包含的不利事件报告程序。</w:t>
      </w:r>
    </w:p>
    <w:p w14:paraId="0A67871C">
      <w:pPr>
        <w:pStyle w:val="3"/>
        <w:spacing w:after="0"/>
        <w:rPr>
          <w:rFonts w:hint="eastAsia" w:ascii="微软雅黑" w:hAnsi="微软雅黑" w:eastAsia="微软雅黑" w:cs="微软雅黑"/>
          <w:sz w:val="21"/>
          <w:szCs w:val="21"/>
          <w:lang w:eastAsia="zh-CN"/>
        </w:rPr>
      </w:pPr>
    </w:p>
    <w:p w14:paraId="0A67871D">
      <w:pPr>
        <w:spacing w:line="360" w:lineRule="auto"/>
        <w:rPr>
          <w:rFonts w:hint="eastAsia" w:ascii="微软雅黑" w:hAnsi="微软雅黑" w:eastAsia="微软雅黑" w:cs="微软雅黑"/>
          <w:b/>
          <w:sz w:val="21"/>
          <w:szCs w:val="21"/>
        </w:rPr>
      </w:pPr>
      <w:bookmarkStart w:id="46" w:name="_Toc205952667"/>
      <w:bookmarkEnd w:id="46"/>
      <w:bookmarkStart w:id="47" w:name="_Toc205957282"/>
      <w:bookmarkEnd w:id="47"/>
      <w:bookmarkStart w:id="48" w:name="_Toc205956473"/>
      <w:bookmarkEnd w:id="48"/>
      <w:bookmarkStart w:id="49" w:name="_Toc205956205"/>
      <w:bookmarkEnd w:id="49"/>
      <w:bookmarkStart w:id="50" w:name="_Toc205957335"/>
      <w:bookmarkEnd w:id="50"/>
      <w:bookmarkStart w:id="51" w:name="_Toc205957336"/>
      <w:r>
        <w:rPr>
          <w:rFonts w:hint="eastAsia" w:ascii="微软雅黑" w:hAnsi="微软雅黑" w:eastAsia="微软雅黑" w:cs="微软雅黑"/>
          <w:b/>
          <w:sz w:val="21"/>
          <w:szCs w:val="21"/>
        </w:rPr>
        <w:t xml:space="preserve">第7节    </w:t>
      </w:r>
      <w:r>
        <w:rPr>
          <w:rFonts w:hint="eastAsia" w:ascii="微软雅黑" w:hAnsi="微软雅黑" w:eastAsia="微软雅黑" w:cs="微软雅黑"/>
          <w:b/>
          <w:sz w:val="21"/>
          <w:szCs w:val="21"/>
          <w:u w:val="single"/>
        </w:rPr>
        <w:t>知识产权</w:t>
      </w:r>
    </w:p>
    <w:p w14:paraId="0A67871E">
      <w:pPr>
        <w:pStyle w:val="4"/>
        <w:numPr>
          <w:ilvl w:val="0"/>
          <w:numId w:val="0"/>
        </w:numPr>
        <w:spacing w:line="360" w:lineRule="auto"/>
        <w:rPr>
          <w:rFonts w:hint="eastAsia" w:ascii="微软雅黑" w:hAnsi="微软雅黑" w:eastAsia="微软雅黑" w:cs="微软雅黑"/>
          <w:sz w:val="21"/>
          <w:szCs w:val="21"/>
        </w:rPr>
      </w:pPr>
    </w:p>
    <w:p w14:paraId="0A67871F">
      <w:pPr>
        <w:pStyle w:val="3"/>
        <w:spacing w:after="0"/>
        <w:rPr>
          <w:rFonts w:hint="eastAsia" w:ascii="微软雅黑" w:hAnsi="微软雅黑" w:eastAsia="微软雅黑" w:cs="微软雅黑"/>
          <w:b/>
          <w:sz w:val="21"/>
          <w:szCs w:val="21"/>
          <w:lang w:val="en-US"/>
        </w:rPr>
      </w:pPr>
      <w:r>
        <w:rPr>
          <w:rFonts w:hint="eastAsia" w:ascii="微软雅黑" w:hAnsi="微软雅黑" w:eastAsia="微软雅黑" w:cs="微软雅黑"/>
          <w:b/>
          <w:sz w:val="21"/>
          <w:szCs w:val="21"/>
          <w:lang w:val="en-US" w:eastAsia="zh-CN"/>
        </w:rPr>
        <w:t xml:space="preserve">7.1   </w:t>
      </w:r>
      <w:r>
        <w:rPr>
          <w:rFonts w:hint="eastAsia" w:ascii="微软雅黑" w:hAnsi="微软雅黑" w:eastAsia="微软雅黑" w:cs="微软雅黑"/>
          <w:b/>
          <w:sz w:val="21"/>
          <w:szCs w:val="21"/>
          <w:lang w:val="en-US"/>
        </w:rPr>
        <w:t>所有权</w:t>
      </w:r>
    </w:p>
    <w:p w14:paraId="0A678720">
      <w:pPr>
        <w:pStyle w:val="5"/>
        <w:numPr>
          <w:ilvl w:val="0"/>
          <w:numId w:val="12"/>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bCs w:val="0"/>
          <w:sz w:val="21"/>
          <w:szCs w:val="21"/>
          <w:lang w:eastAsia="zh-CN"/>
        </w:rPr>
        <w:t xml:space="preserve">  服务提供方因履行本协议向公信提供的服务成果或服务过程中</w:t>
      </w:r>
      <w:r>
        <w:rPr>
          <w:rFonts w:hint="eastAsia" w:ascii="微软雅黑" w:hAnsi="微软雅黑" w:eastAsia="微软雅黑" w:cs="微软雅黑"/>
          <w:sz w:val="21"/>
          <w:szCs w:val="21"/>
          <w:lang w:eastAsia="zh-CN"/>
        </w:rPr>
        <w:t>形成或产生的知识产权归公信所有，并保证提供的服务成果</w:t>
      </w:r>
      <w:r>
        <w:rPr>
          <w:rFonts w:hint="eastAsia" w:ascii="微软雅黑" w:hAnsi="微软雅黑" w:eastAsia="微软雅黑" w:cs="微软雅黑"/>
          <w:bCs w:val="0"/>
          <w:sz w:val="21"/>
          <w:szCs w:val="21"/>
          <w:lang w:eastAsia="zh-CN"/>
        </w:rPr>
        <w:t>不侵犯任何第三方的知识产权（包括著作权、商标权、专利权）或肖像权等其他合法权利，如有侵权由服务提供方承担相应责任。</w:t>
      </w:r>
    </w:p>
    <w:p w14:paraId="0A678721">
      <w:pPr>
        <w:pStyle w:val="5"/>
        <w:numPr>
          <w:ilvl w:val="0"/>
          <w:numId w:val="12"/>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双方在此承认，包括但不限于任何发明、其他设想和/或在本协议下付诸实践的信息的成果应为且在任何时候应持续为公信的独占和排他性的财产。所有此类结果均为公信的保密信息，并按照本协议的规定处理。</w:t>
      </w:r>
    </w:p>
    <w:p w14:paraId="0A678722">
      <w:pPr>
        <w:pStyle w:val="5"/>
        <w:numPr>
          <w:ilvl w:val="0"/>
          <w:numId w:val="12"/>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应当并应促使其代理人、董事、顾问、分包商和员工以书面形式向公信全面、及时披露全部成果。服务提供方特此向公信或公信的指定人转让成果的所有权利、所有权和利益，而不受任何限制、担保利益、第三方利益、财产负担和/或额外的报酬和收费。服务提供方应促使其代理人、董事、顾问和员工签署并交付或者促使其向公信将其签发并交付所有文件，并应在被合理要求下做出所有这些事项，以使公信或其指定人对此类结果享有全部权利、所有权和利益以作为其唯一和排他财产。</w:t>
      </w:r>
      <w:bookmarkStart w:id="52" w:name="_Ref214977216"/>
    </w:p>
    <w:bookmarkEnd w:id="52"/>
    <w:p w14:paraId="0A678723">
      <w:pPr>
        <w:pStyle w:val="3"/>
        <w:spacing w:after="0"/>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7.2    知识产权的保护</w:t>
      </w:r>
    </w:p>
    <w:p w14:paraId="0A678724">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公信</w:t>
      </w:r>
      <w:r>
        <w:rPr>
          <w:rFonts w:hint="eastAsia" w:ascii="微软雅黑" w:hAnsi="微软雅黑" w:eastAsia="微软雅黑" w:cs="微软雅黑"/>
          <w:sz w:val="21"/>
          <w:szCs w:val="21"/>
          <w:lang w:eastAsia="zh-CN"/>
        </w:rPr>
        <w:t>可以自行决定，自费准备、提交和申请成果的一项或多项法定保护，并在获得该等法定保护后，维护并实现该等权利。在专利申请情况下，公信应根据适用法规确定发明人。一旦公信要求且由公信承担费用，服务提供方及/或他们的代理人和员工应合理地协助公信完成该等申请程序，并交付提交该等申请所必要的一切文件。</w:t>
      </w:r>
    </w:p>
    <w:p w14:paraId="0A678725">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7.3   第三方权利、保证和补偿</w:t>
      </w:r>
    </w:p>
    <w:p w14:paraId="0A678726">
      <w:pPr>
        <w:pStyle w:val="85"/>
        <w:numPr>
          <w:ilvl w:val="0"/>
          <w:numId w:val="13"/>
        </w:numPr>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GB" w:eastAsia="zh-CN"/>
        </w:rPr>
        <w:t>服务提供方在此声明并保证，截至生效日，本协议下的活动的履行并未侵犯或滥用任何第三方的知识财产权利、专有信息或材料。</w:t>
      </w:r>
    </w:p>
    <w:p w14:paraId="0A678727">
      <w:pPr>
        <w:pStyle w:val="85"/>
        <w:numPr>
          <w:ilvl w:val="0"/>
          <w:numId w:val="13"/>
        </w:numPr>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GB" w:eastAsia="zh-CN"/>
        </w:rPr>
        <w:t>服务提供方声明，其自身及其员工、董事、顾问、分包商和代理人有权并经适当授权签订本协议并履行他们在本协议下义务，不受任何限制或负担。</w:t>
      </w:r>
    </w:p>
    <w:p w14:paraId="0A678728">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7.4   第三方侵权</w:t>
      </w:r>
    </w:p>
    <w:p w14:paraId="0A678729">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如果在本协议有效期内，任何一方知晓本协议下活动或利用成果引起的对第三方知识财产权利的任何待决或潜在的侵权，该方应及时地以书面形式通知另一方。</w:t>
      </w:r>
    </w:p>
    <w:p w14:paraId="0A67872A">
      <w:pPr>
        <w:spacing w:line="360" w:lineRule="auto"/>
        <w:jc w:val="both"/>
        <w:rPr>
          <w:rFonts w:hint="eastAsia" w:ascii="微软雅黑" w:hAnsi="微软雅黑" w:eastAsia="微软雅黑" w:cs="微软雅黑"/>
          <w:sz w:val="21"/>
          <w:szCs w:val="21"/>
          <w:lang w:eastAsia="zh-CN"/>
        </w:rPr>
      </w:pPr>
    </w:p>
    <w:p w14:paraId="0A67872B">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第8节   反贿赂</w:t>
      </w:r>
    </w:p>
    <w:p w14:paraId="0A67872C">
      <w:pPr>
        <w:spacing w:line="360" w:lineRule="auto"/>
        <w:rPr>
          <w:rFonts w:hint="eastAsia" w:ascii="微软雅黑" w:hAnsi="微软雅黑" w:eastAsia="微软雅黑" w:cs="微软雅黑"/>
          <w:sz w:val="21"/>
          <w:szCs w:val="21"/>
          <w:lang w:val="en-US" w:eastAsia="zh-CN"/>
        </w:rPr>
      </w:pPr>
    </w:p>
    <w:p w14:paraId="0A67872D">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服务提供方承诺其及其代理人或员工不会直接或间接向任何政府官员或员工或政府代理或机构付款，除非该等付款及金额是被适用法规所允许的，如行政申请和登记费。</w:t>
      </w:r>
    </w:p>
    <w:p w14:paraId="0A67872E">
      <w:pPr>
        <w:spacing w:line="360" w:lineRule="auto"/>
        <w:jc w:val="both"/>
        <w:rPr>
          <w:rFonts w:hint="eastAsia" w:ascii="微软雅黑" w:hAnsi="微软雅黑" w:eastAsia="微软雅黑" w:cs="微软雅黑"/>
          <w:sz w:val="21"/>
          <w:szCs w:val="21"/>
          <w:lang w:val="en-US" w:eastAsia="zh-CN"/>
        </w:rPr>
      </w:pPr>
    </w:p>
    <w:p w14:paraId="0A67872F">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第9节    </w:t>
      </w:r>
      <w:r>
        <w:rPr>
          <w:rFonts w:hint="eastAsia" w:ascii="微软雅黑" w:hAnsi="微软雅黑" w:eastAsia="微软雅黑" w:cs="微软雅黑"/>
          <w:b/>
          <w:sz w:val="21"/>
          <w:szCs w:val="21"/>
          <w:u w:val="single"/>
          <w:lang w:eastAsia="zh-CN"/>
        </w:rPr>
        <w:t>保密义务</w:t>
      </w:r>
    </w:p>
    <w:bookmarkEnd w:id="51"/>
    <w:p w14:paraId="0A678730">
      <w:pPr>
        <w:spacing w:line="360" w:lineRule="auto"/>
        <w:rPr>
          <w:rFonts w:hint="eastAsia" w:ascii="微软雅黑" w:hAnsi="微软雅黑" w:eastAsia="微软雅黑" w:cs="微软雅黑"/>
          <w:sz w:val="21"/>
          <w:szCs w:val="21"/>
          <w:lang w:val="en-US" w:eastAsia="zh-CN"/>
        </w:rPr>
      </w:pPr>
      <w:bookmarkStart w:id="53" w:name="_Toc205957337"/>
    </w:p>
    <w:p w14:paraId="0A678731">
      <w:pPr>
        <w:pStyle w:val="3"/>
        <w:spacing w:after="0"/>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9.1    保密</w:t>
      </w:r>
    </w:p>
    <w:p w14:paraId="0A678732">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每一方应仅为履行本协议下活动之目的而非其他目的使用另一方的机密信息，未经另一方的事先书面同意，不得将其披露或提供给另一方。除非另有允许，否则应对该等机密信息保密，并且未经另一方的事先书面同意，不得披露或以其他方式将其提供给第三方。</w:t>
      </w:r>
    </w:p>
    <w:p w14:paraId="0A678733">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然而，该等禁止使用、保密和禁止披露的要求不应适用下列信息及/或材料：</w:t>
      </w:r>
    </w:p>
    <w:p w14:paraId="0A678734">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一方在披露前已经知晓的信息及/或材料，且有事先的书面记录证明；或</w:t>
      </w:r>
    </w:p>
    <w:p w14:paraId="0A678735">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非因一方违反本规定而作为或成为公知的信息及/或材料；或</w:t>
      </w:r>
    </w:p>
    <w:p w14:paraId="0A678736">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一方善意地从未违反保密义务的第三方处获得的信息及/或材料；或</w:t>
      </w:r>
    </w:p>
    <w:p w14:paraId="0A678737">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一方未借鉴本协议下披露之机密信息而独立开发出的信息及/或材料，且有书面记录证明；或</w:t>
      </w:r>
    </w:p>
    <w:p w14:paraId="0A678738">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一方根据法定提交或其他法律要求而有义务披露的信息及/或材料，但前提是该方应首先通知另一方，以便另一方寻求保护令或类似的救济（若合适或可得）。</w:t>
      </w:r>
    </w:p>
    <w:p w14:paraId="0A678739">
      <w:pPr>
        <w:pStyle w:val="85"/>
        <w:tabs>
          <w:tab w:val="left" w:pos="1440"/>
        </w:tabs>
        <w:spacing w:line="360" w:lineRule="auto"/>
        <w:ind w:left="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每一方应促使其代理人、承包商、顾问及/或员工遵循本保密义务，并应采取所有合理措施确保该等机密信息的保密性，包括但不限于仅向履行本协议下活动的且受到同等保密义务约束的人员披露该等机密信息。</w:t>
      </w:r>
    </w:p>
    <w:p w14:paraId="0A67873A">
      <w:pPr>
        <w:spacing w:line="360" w:lineRule="auto"/>
        <w:jc w:val="both"/>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在本协议终止或届满之时，或是双方书面约定的更早的时间，每一方应按照披露方的选择归还其可能已经收到的机密信息的所有副本，或是销毁和/或删除（对电子资料），并证明该缔约方所持有的所有此类信息已被销毁和/或删除（如适用），但是该方仅可保留一份副本，仅供为合法存档之目的在一个安全场所保存。</w:t>
      </w:r>
    </w:p>
    <w:p w14:paraId="0A67873B">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9.2      发布</w:t>
      </w:r>
    </w:p>
    <w:p w14:paraId="0A67873C">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服务提供方披露未在未在本协议下允许的成果或其他任何形式（包括但不限于口头、书面、电子或图像）机密信息（包括但不限于背景知识财产及/或本协议的存在和条款），需经公信自行决定的事先审核和书面批准。</w:t>
      </w:r>
    </w:p>
    <w:p w14:paraId="0A67873D">
      <w:pPr>
        <w:spacing w:line="360" w:lineRule="auto"/>
        <w:jc w:val="both"/>
        <w:rPr>
          <w:rFonts w:hint="eastAsia" w:ascii="微软雅黑" w:hAnsi="微软雅黑" w:eastAsia="微软雅黑" w:cs="微软雅黑"/>
          <w:spacing w:val="-3"/>
          <w:sz w:val="21"/>
          <w:szCs w:val="21"/>
          <w:lang w:eastAsia="zh-CN"/>
        </w:rPr>
      </w:pPr>
    </w:p>
    <w:p w14:paraId="0A67873E">
      <w:pPr>
        <w:spacing w:line="360" w:lineRule="auto"/>
        <w:rPr>
          <w:rFonts w:hint="eastAsia" w:ascii="微软雅黑" w:hAnsi="微软雅黑" w:eastAsia="微软雅黑" w:cs="微软雅黑"/>
          <w:b/>
          <w:sz w:val="21"/>
          <w:szCs w:val="21"/>
          <w:u w:val="single"/>
          <w:lang w:eastAsia="zh-CN"/>
        </w:rPr>
      </w:pPr>
      <w:bookmarkStart w:id="54" w:name="_Ref224724786"/>
      <w:r>
        <w:rPr>
          <w:rFonts w:hint="eastAsia" w:ascii="微软雅黑" w:hAnsi="微软雅黑" w:eastAsia="微软雅黑" w:cs="微软雅黑"/>
          <w:b/>
          <w:sz w:val="21"/>
          <w:szCs w:val="21"/>
          <w:lang w:eastAsia="zh-CN"/>
        </w:rPr>
        <w:t xml:space="preserve">第10节    </w:t>
      </w:r>
      <w:r>
        <w:rPr>
          <w:rFonts w:hint="eastAsia" w:ascii="微软雅黑" w:hAnsi="微软雅黑" w:eastAsia="微软雅黑" w:cs="微软雅黑"/>
          <w:b/>
          <w:sz w:val="21"/>
          <w:szCs w:val="21"/>
          <w:u w:val="single"/>
          <w:lang w:eastAsia="zh-CN"/>
        </w:rPr>
        <w:t>声明和保证</w:t>
      </w:r>
    </w:p>
    <w:bookmarkEnd w:id="54"/>
    <w:p w14:paraId="0A67873F">
      <w:pPr>
        <w:pStyle w:val="4"/>
        <w:numPr>
          <w:ilvl w:val="0"/>
          <w:numId w:val="0"/>
        </w:numPr>
        <w:spacing w:line="360" w:lineRule="auto"/>
        <w:rPr>
          <w:rFonts w:hint="eastAsia" w:ascii="微软雅黑" w:hAnsi="微软雅黑" w:eastAsia="微软雅黑" w:cs="微软雅黑"/>
          <w:sz w:val="21"/>
          <w:szCs w:val="21"/>
          <w:lang w:eastAsia="zh-CN"/>
        </w:rPr>
      </w:pPr>
      <w:bookmarkStart w:id="55" w:name="_Ref221102954"/>
    </w:p>
    <w:p w14:paraId="0A678740">
      <w:pPr>
        <w:pStyle w:val="3"/>
        <w:spacing w:after="0"/>
        <w:rPr>
          <w:rFonts w:hint="eastAsia" w:ascii="微软雅黑" w:hAnsi="微软雅黑" w:eastAsia="微软雅黑" w:cs="微软雅黑"/>
          <w:sz w:val="21"/>
          <w:szCs w:val="21"/>
          <w:lang w:eastAsia="zh-CN"/>
        </w:rPr>
      </w:pPr>
      <w:bookmarkStart w:id="56" w:name="OLE_LINK229"/>
      <w:bookmarkStart w:id="57" w:name="OLE_LINK228"/>
      <w:r>
        <w:rPr>
          <w:rFonts w:hint="eastAsia" w:ascii="微软雅黑" w:hAnsi="微软雅黑" w:eastAsia="微软雅黑" w:cs="微软雅黑"/>
          <w:sz w:val="21"/>
          <w:szCs w:val="21"/>
          <w:lang w:eastAsia="zh-CN"/>
        </w:rPr>
        <w:t>10.1   每一方声明并保证如下：(a)该方对本协议的签署、交付和履行：(i)已经得到所有必要的公司行动的授权，(ii)并未违反任何约束该方的法律、法规、行业标准或准则、或法院命令的条款，或是违反任何可能约束该方或其任何资产的任何协议的条款；且(iii)不需要获得任何第三方的同意或批准；(b)本协议是该声明方的有效和具有约束性的义务，可根据其条款对该方强制执行；且(c)该方并不涉及可能影响该方履行其在本协议下义务的任何待决的或潜在的诉讼或政府行动。</w:t>
      </w:r>
      <w:bookmarkEnd w:id="55"/>
      <w:bookmarkEnd w:id="56"/>
      <w:bookmarkEnd w:id="57"/>
    </w:p>
    <w:p w14:paraId="0A678741">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10.2  服务提供方声明并保证，其不是任何可能阻碍其完成本协议及/或任何工作说明书下之义务的协议的缔约方，且在本协议及每一份工作说明书的有效期内，服务提供方将不会签订任何协议提供可能以任何方式阻碍其提供本协议及工作说明书下拟议之服务的服务。</w:t>
      </w:r>
    </w:p>
    <w:p w14:paraId="0A67874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10.3  服务提供方声明并保证，其已经拥有、且将在本协议的整个有效期内拥有要求的专业技能、执照和批准，以及时的、专业的和令人满意的方式为了公信的最大利益履行其在本协议下的义务。此外，服务提供方应根据本协议及任何工作说明书（包括工作说明书中列明的规格）履行服务。</w:t>
      </w:r>
    </w:p>
    <w:p w14:paraId="0A678743">
      <w:pPr>
        <w:pStyle w:val="3"/>
        <w:spacing w:after="0"/>
        <w:rPr>
          <w:rFonts w:hint="eastAsia" w:ascii="微软雅黑" w:hAnsi="微软雅黑" w:eastAsia="微软雅黑" w:cs="微软雅黑"/>
          <w:sz w:val="21"/>
          <w:szCs w:val="21"/>
          <w:lang w:eastAsia="zh-CN"/>
        </w:rPr>
      </w:pPr>
      <w:bookmarkStart w:id="58" w:name="_Ref224722304"/>
      <w:r>
        <w:rPr>
          <w:rFonts w:hint="eastAsia" w:ascii="微软雅黑" w:hAnsi="微软雅黑" w:eastAsia="微软雅黑" w:cs="微软雅黑"/>
          <w:sz w:val="21"/>
          <w:szCs w:val="21"/>
          <w:lang w:eastAsia="zh-CN"/>
        </w:rPr>
        <w:t>10.4  如果适用，服务提供方或其任何董事、高级职员、雇员、独立承包商、代理人或其他代表现在及过去都从未被排除、禁止、暂停或具有其他不符合参加任何政府补偿计划和/或任何政府采购或非采购计划资格的情况。如果服务提供方或参与履行服务的任何代表被禁止、排除、暂停或具有其他不符合参加任何政府补偿计划或采购或非采购计划的资格的情况，服务提供方同意立即通知公信。</w:t>
      </w:r>
    </w:p>
    <w:p w14:paraId="0A67874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10.5  服务应由服务提供方根据（服务提供方或其允许的分/承包商履行服务的每个国家的）所有适用的法规及合理注意而开展。</w:t>
      </w:r>
    </w:p>
    <w:bookmarkEnd w:id="58"/>
    <w:p w14:paraId="0A678745">
      <w:pPr>
        <w:pStyle w:val="3"/>
        <w:spacing w:after="0"/>
        <w:rPr>
          <w:rFonts w:hint="eastAsia" w:ascii="微软雅黑" w:hAnsi="微软雅黑" w:eastAsia="微软雅黑" w:cs="微软雅黑"/>
          <w:sz w:val="21"/>
          <w:szCs w:val="21"/>
          <w:lang w:eastAsia="zh-CN"/>
        </w:rPr>
      </w:pPr>
    </w:p>
    <w:p w14:paraId="0A678746">
      <w:pPr>
        <w:spacing w:line="360" w:lineRule="auto"/>
        <w:rPr>
          <w:rFonts w:hint="eastAsia" w:ascii="微软雅黑" w:hAnsi="微软雅黑" w:eastAsia="微软雅黑" w:cs="微软雅黑"/>
          <w:b/>
          <w:sz w:val="21"/>
          <w:szCs w:val="21"/>
          <w:lang w:eastAsia="zh-CN"/>
        </w:rPr>
      </w:pPr>
      <w:bookmarkStart w:id="59" w:name="OLE_LINK259"/>
      <w:bookmarkStart w:id="60" w:name="OLE_LINK258"/>
      <w:r>
        <w:rPr>
          <w:rFonts w:hint="eastAsia" w:ascii="微软雅黑" w:hAnsi="微软雅黑" w:eastAsia="微软雅黑" w:cs="微软雅黑"/>
          <w:b/>
          <w:sz w:val="21"/>
          <w:szCs w:val="21"/>
          <w:lang w:eastAsia="zh-CN"/>
        </w:rPr>
        <w:t xml:space="preserve">第11节    </w:t>
      </w:r>
      <w:r>
        <w:rPr>
          <w:rFonts w:hint="eastAsia" w:ascii="微软雅黑" w:hAnsi="微软雅黑" w:eastAsia="微软雅黑" w:cs="微软雅黑"/>
          <w:b/>
          <w:sz w:val="21"/>
          <w:szCs w:val="21"/>
          <w:u w:val="single"/>
          <w:lang w:eastAsia="zh-CN"/>
        </w:rPr>
        <w:t>责任承担及赔偿</w:t>
      </w:r>
    </w:p>
    <w:bookmarkEnd w:id="59"/>
    <w:bookmarkEnd w:id="60"/>
    <w:p w14:paraId="0A678747">
      <w:pPr>
        <w:pStyle w:val="4"/>
        <w:numPr>
          <w:ilvl w:val="0"/>
          <w:numId w:val="0"/>
        </w:numPr>
        <w:spacing w:line="360" w:lineRule="auto"/>
        <w:rPr>
          <w:rFonts w:hint="eastAsia" w:ascii="微软雅黑" w:hAnsi="微软雅黑" w:eastAsia="微软雅黑" w:cs="微软雅黑"/>
          <w:sz w:val="21"/>
          <w:szCs w:val="21"/>
          <w:lang w:eastAsia="zh-CN"/>
        </w:rPr>
      </w:pPr>
    </w:p>
    <w:p w14:paraId="0A67874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11.1  因((i)针对公信使用或占有服务提供方或提供方人员在本协议下使用或提供的服务、成果或知识财产权利侵犯或违反了任何第三方的专利、版权、商标、商业秘密或其他专有权利的任何主张；(ii)服务提供方违反了本协议中规定的任何声明、保证和契约；(iii)服务提供方违反了本协议中规定的保密和信息保护义务；及(iv)就服务提供方或提供方人员的侵权行为造成的任何人员伤亡、或实际的或有形的私人财产的损害而提出的索赔，而引起的或与之相关的任何索赔、主张、诉讼、损失或损害（包括法律费用），服务提供方应对此负责，对公信及其员工、董事、分/承包商及关联方做出赔偿并使他们免受任何损害。</w:t>
      </w:r>
      <w:bookmarkEnd w:id="53"/>
      <w:bookmarkStart w:id="61" w:name="_Ref205956917"/>
      <w:bookmarkStart w:id="62" w:name="_Toc205957338"/>
    </w:p>
    <w:p w14:paraId="0A67874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11.2  如果发生了本条下的侵权或滥用主张，或如果一方认为可能发生该等主张，服务提供方除了承担其赔偿义务，还将(i)为公信取得不受侵权主张的继续使用成果和服务的权利或许可；或(ii)替换或变更成果和服务使其不再侵权，但前提是该等替换在实质上符合成果和服务届时的规格。</w:t>
      </w:r>
    </w:p>
    <w:p w14:paraId="0A67874A">
      <w:pPr>
        <w:spacing w:line="360" w:lineRule="auto"/>
        <w:rPr>
          <w:rFonts w:hint="eastAsia" w:ascii="微软雅黑" w:hAnsi="微软雅黑" w:eastAsia="微软雅黑" w:cs="微软雅黑"/>
          <w:sz w:val="21"/>
          <w:szCs w:val="21"/>
          <w:lang w:eastAsia="zh-CN"/>
        </w:rPr>
      </w:pPr>
    </w:p>
    <w:p w14:paraId="0A67874B">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第12节     </w:t>
      </w:r>
      <w:r>
        <w:rPr>
          <w:rFonts w:hint="eastAsia" w:ascii="微软雅黑" w:hAnsi="微软雅黑" w:eastAsia="微软雅黑" w:cs="微软雅黑"/>
          <w:b/>
          <w:sz w:val="21"/>
          <w:szCs w:val="21"/>
          <w:u w:val="single"/>
          <w:lang w:eastAsia="zh-CN"/>
        </w:rPr>
        <w:t>赔偿</w:t>
      </w:r>
    </w:p>
    <w:p w14:paraId="0A67874C">
      <w:pPr>
        <w:pStyle w:val="68"/>
        <w:widowControl w:val="0"/>
        <w:numPr>
          <w:ilvl w:val="0"/>
          <w:numId w:val="0"/>
        </w:numPr>
        <w:tabs>
          <w:tab w:val="left" w:pos="1440"/>
          <w:tab w:val="left" w:pos="2160"/>
        </w:tabs>
        <w:spacing w:after="0" w:line="360" w:lineRule="auto"/>
        <w:rPr>
          <w:rFonts w:hint="eastAsia" w:ascii="微软雅黑" w:hAnsi="微软雅黑" w:eastAsia="微软雅黑" w:cs="微软雅黑"/>
          <w:sz w:val="21"/>
          <w:szCs w:val="21"/>
          <w:highlight w:val="yellow"/>
          <w:lang w:eastAsia="zh-CN"/>
        </w:rPr>
      </w:pPr>
    </w:p>
    <w:p w14:paraId="0A67874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12.1  对于本协议下涉及赔偿的主张，公信将向服务提供方提供及时的通知，但未能提供该通知将不会免除服务提供方的赔偿义务（仅限于其受损害的范围内）。服务提供方应就赔偿所涉之主张的抗辩、解决或和解享有完全的控制权和权力，但前提是服务提供方将不会签订可能以任何方式影响公信权利或使公信受到任何第三方约束的任何第三方协议。</w:t>
      </w:r>
    </w:p>
    <w:p w14:paraId="0A67874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12.2 一方就依据本协议得到赔偿的主张所进行的所有支付将被视作直接赔偿，而非后果性的、间接的、附带的、特殊的或惩罚性的赔偿，不论引起该等赔偿义务的主张的性质如何。</w:t>
      </w:r>
    </w:p>
    <w:p w14:paraId="0A67874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12.3  除了服务提供方的赔偿义务、服务提供方违反其保密和信息保护义务、服务提供方未能遵循适用法规、以及服务提供方的重大过失、欺诈或故意不当行为，任何一方或其关联方、员工、代理人、官员和董事均不会就其履行或未能履行本协议而引起的或与之相关的任何附带的、特殊的、后果性的或惩罚性的赔偿或收入、利润或存款损失金额负责，不论一方有权主张赔偿的依据是基于合同或侵权（包括违反保证、过失和严格责任），即使该方先前已经告知了该等赔偿的可能性。</w:t>
      </w:r>
    </w:p>
    <w:p w14:paraId="0A678750">
      <w:pPr>
        <w:pStyle w:val="3"/>
        <w:spacing w:after="0"/>
        <w:rPr>
          <w:rFonts w:hint="eastAsia" w:ascii="微软雅黑" w:hAnsi="微软雅黑" w:eastAsia="微软雅黑" w:cs="微软雅黑"/>
          <w:sz w:val="21"/>
          <w:szCs w:val="21"/>
          <w:lang w:eastAsia="zh-CN"/>
        </w:rPr>
      </w:pPr>
    </w:p>
    <w:p w14:paraId="0A678751">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第13节   </w:t>
      </w:r>
      <w:r>
        <w:rPr>
          <w:rFonts w:hint="eastAsia" w:ascii="微软雅黑" w:hAnsi="微软雅黑" w:eastAsia="微软雅黑" w:cs="微软雅黑"/>
          <w:b/>
          <w:sz w:val="21"/>
          <w:szCs w:val="21"/>
          <w:u w:val="single"/>
          <w:lang w:eastAsia="zh-CN"/>
        </w:rPr>
        <w:t>保险</w:t>
      </w:r>
    </w:p>
    <w:p w14:paraId="0A678752">
      <w:pPr>
        <w:spacing w:line="360" w:lineRule="auto"/>
        <w:rPr>
          <w:rFonts w:hint="eastAsia" w:ascii="微软雅黑" w:hAnsi="微软雅黑" w:eastAsia="微软雅黑" w:cs="微软雅黑"/>
          <w:sz w:val="21"/>
          <w:szCs w:val="21"/>
          <w:lang w:val="en-US" w:eastAsia="zh-CN"/>
        </w:rPr>
      </w:pPr>
    </w:p>
    <w:p w14:paraId="0A678753">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13.1  在本协议的有效期内，服务提供方应保有充足的保险，以充分保护服务提供方和公信免受任何性质的财产损失或任何个人或实体因服务所造成的个人伤害（包括死亡）的所有索赔</w:t>
      </w:r>
      <w:bookmarkStart w:id="63" w:name="OLE_LINK272"/>
      <w:bookmarkStart w:id="64" w:name="OLE_LINK273"/>
      <w:r>
        <w:rPr>
          <w:rFonts w:hint="eastAsia" w:ascii="微软雅黑" w:hAnsi="微软雅黑" w:eastAsia="微软雅黑" w:cs="微软雅黑"/>
          <w:sz w:val="21"/>
          <w:szCs w:val="21"/>
          <w:lang w:eastAsia="zh-CN"/>
        </w:rPr>
        <w:t>。</w:t>
      </w:r>
    </w:p>
    <w:bookmarkEnd w:id="63"/>
    <w:bookmarkEnd w:id="64"/>
    <w:p w14:paraId="0A67875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13.2  如果公信要求，服务提供方将向公信交付一份上述保单的证明。</w:t>
      </w:r>
    </w:p>
    <w:p w14:paraId="0A678755">
      <w:pPr>
        <w:pStyle w:val="3"/>
        <w:tabs>
          <w:tab w:val="left" w:pos="720"/>
        </w:tabs>
        <w:spacing w:after="0"/>
        <w:rPr>
          <w:rFonts w:hint="eastAsia" w:ascii="微软雅黑" w:hAnsi="微软雅黑" w:eastAsia="微软雅黑" w:cs="微软雅黑"/>
          <w:snapToGrid w:val="0"/>
          <w:sz w:val="21"/>
          <w:szCs w:val="21"/>
          <w:lang w:eastAsia="zh-CN"/>
        </w:rPr>
      </w:pPr>
    </w:p>
    <w:p w14:paraId="0A678756">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第14节    </w:t>
      </w:r>
      <w:r>
        <w:rPr>
          <w:rFonts w:hint="eastAsia" w:ascii="微软雅黑" w:hAnsi="微软雅黑" w:eastAsia="微软雅黑" w:cs="微软雅黑"/>
          <w:b/>
          <w:sz w:val="21"/>
          <w:szCs w:val="21"/>
          <w:u w:val="single"/>
          <w:lang w:eastAsia="zh-CN"/>
        </w:rPr>
        <w:t>审计与报告</w:t>
      </w:r>
    </w:p>
    <w:p w14:paraId="0A678757">
      <w:pPr>
        <w:spacing w:line="360" w:lineRule="auto"/>
        <w:rPr>
          <w:rFonts w:hint="eastAsia" w:ascii="微软雅黑" w:hAnsi="微软雅黑" w:eastAsia="微软雅黑" w:cs="微软雅黑"/>
          <w:sz w:val="21"/>
          <w:szCs w:val="21"/>
          <w:lang w:val="en-US" w:eastAsia="zh-CN"/>
        </w:rPr>
      </w:pPr>
    </w:p>
    <w:p w14:paraId="0A67875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14.1  为了核实本协议中的义务是否被遵循，公信保留经提前通知在正常营业时间亲自或由其授权代表进行合规审计的权利。</w:t>
      </w:r>
    </w:p>
    <w:p w14:paraId="0A67875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14.2  服务提供方应保留所有与本协议相关的账簿、记录和文件，保留期间为本协议届满日起三（3）年或直至所有的审计活动完成。</w:t>
      </w:r>
    </w:p>
    <w:p w14:paraId="0A67875A">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14.3  公信有权向服务提供方交付一份上述审计的报告。如果服务提供方对该报告的结论有异议，其应通知公信，双方应尝试解决分歧。如果双方未能就该报告的结论达成一致，该分歧应根据本协议</w:t>
      </w:r>
      <w:r>
        <w:rPr>
          <w:rFonts w:hint="eastAsia" w:ascii="微软雅黑" w:hAnsi="微软雅黑" w:eastAsia="微软雅黑" w:cs="微软雅黑"/>
          <w:sz w:val="21"/>
          <w:szCs w:val="21"/>
          <w:highlight w:val="yellow"/>
          <w:lang w:eastAsia="zh-CN"/>
        </w:rPr>
        <w:t>第18条</w:t>
      </w:r>
      <w:r>
        <w:rPr>
          <w:rFonts w:hint="eastAsia" w:ascii="微软雅黑" w:hAnsi="微软雅黑" w:eastAsia="微软雅黑" w:cs="微软雅黑"/>
          <w:sz w:val="21"/>
          <w:szCs w:val="21"/>
          <w:lang w:eastAsia="zh-CN"/>
        </w:rPr>
        <w:t>解决。</w:t>
      </w:r>
    </w:p>
    <w:p w14:paraId="0A67875B">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14.4  如果该审计确认服务提供方未遵循本协议中规定的义务，且服务提供方未提议及/或履行任何（按公信自行决定）可接受的改正行动计划。在不影响其他法律救济的前提下，公信应有权立即终止本协议，包括所有的工作说明书，且无须赔偿服务提供方。</w:t>
      </w:r>
    </w:p>
    <w:p w14:paraId="0A67875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14.5  审计成本应由公信承担，除非审计结论称服务提供方未遵循其义务，该情况下服务提供方应承担审计成本。</w:t>
      </w:r>
    </w:p>
    <w:p w14:paraId="0A67875D">
      <w:pPr>
        <w:spacing w:line="360" w:lineRule="auto"/>
        <w:rPr>
          <w:rFonts w:hint="eastAsia" w:ascii="微软雅黑" w:hAnsi="微软雅黑" w:eastAsia="微软雅黑" w:cs="微软雅黑"/>
          <w:snapToGrid w:val="0"/>
          <w:sz w:val="21"/>
          <w:szCs w:val="21"/>
          <w:lang w:eastAsia="zh-CN"/>
        </w:rPr>
      </w:pPr>
    </w:p>
    <w:p w14:paraId="0A67875E">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第15节    </w:t>
      </w:r>
      <w:r>
        <w:rPr>
          <w:rFonts w:hint="eastAsia" w:ascii="微软雅黑" w:hAnsi="微软雅黑" w:eastAsia="微软雅黑" w:cs="微软雅黑"/>
          <w:b/>
          <w:sz w:val="21"/>
          <w:szCs w:val="21"/>
          <w:u w:val="single"/>
          <w:lang w:eastAsia="zh-CN"/>
        </w:rPr>
        <w:t>有效期与终止</w:t>
      </w:r>
    </w:p>
    <w:p w14:paraId="0A67875F">
      <w:pPr>
        <w:spacing w:line="360" w:lineRule="auto"/>
        <w:rPr>
          <w:rFonts w:hint="eastAsia" w:ascii="微软雅黑" w:hAnsi="微软雅黑" w:eastAsia="微软雅黑" w:cs="微软雅黑"/>
          <w:sz w:val="21"/>
          <w:szCs w:val="21"/>
          <w:lang w:eastAsia="zh-CN"/>
        </w:rPr>
      </w:pPr>
    </w:p>
    <w:p w14:paraId="0A67876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15.1  本协议应于生效日起存续至</w:t>
      </w:r>
      <w:r>
        <w:rPr>
          <w:rFonts w:hint="eastAsia" w:ascii="微软雅黑" w:hAnsi="微软雅黑" w:eastAsia="微软雅黑" w:cs="微软雅黑"/>
          <w:sz w:val="21"/>
          <w:szCs w:val="21"/>
          <w:highlight w:val="yellow"/>
          <w:lang w:eastAsia="zh-CN"/>
        </w:rPr>
        <w:t>2025年12月31日</w:t>
      </w:r>
      <w:r>
        <w:rPr>
          <w:rFonts w:hint="eastAsia" w:ascii="微软雅黑" w:hAnsi="微软雅黑" w:eastAsia="微软雅黑" w:cs="微软雅黑"/>
          <w:sz w:val="21"/>
          <w:szCs w:val="21"/>
          <w:lang w:eastAsia="zh-CN"/>
        </w:rPr>
        <w:t>，除非依据本协议规定提前终止。此后，本协议将自动续期</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1</w:t>
      </w:r>
      <w:r>
        <w:rPr>
          <w:rFonts w:hint="eastAsia" w:ascii="微软雅黑" w:hAnsi="微软雅黑" w:eastAsia="微软雅黑" w:cs="微软雅黑"/>
          <w:sz w:val="21"/>
          <w:szCs w:val="21"/>
          <w:highlight w:val="yellow"/>
          <w:lang w:eastAsia="zh-CN"/>
        </w:rPr>
        <w:t>】年</w:t>
      </w:r>
      <w:r>
        <w:rPr>
          <w:rFonts w:hint="eastAsia" w:ascii="微软雅黑" w:hAnsi="微软雅黑" w:eastAsia="微软雅黑" w:cs="微软雅黑"/>
          <w:sz w:val="21"/>
          <w:szCs w:val="21"/>
          <w:lang w:eastAsia="zh-CN"/>
        </w:rPr>
        <w:t>，除非本协议规定的任何一方终止。</w:t>
      </w:r>
    </w:p>
    <w:p w14:paraId="0A678761">
      <w:pPr>
        <w:pStyle w:val="3"/>
        <w:spacing w:after="0"/>
        <w:rPr>
          <w:rFonts w:hint="eastAsia" w:ascii="微软雅黑" w:hAnsi="微软雅黑" w:eastAsia="微软雅黑" w:cs="微软雅黑"/>
          <w:sz w:val="21"/>
          <w:szCs w:val="21"/>
          <w:lang w:eastAsia="zh-CN"/>
        </w:rPr>
      </w:pPr>
      <w:bookmarkStart w:id="65" w:name="_Ref224724686"/>
      <w:r>
        <w:rPr>
          <w:rFonts w:hint="eastAsia" w:ascii="微软雅黑" w:hAnsi="微软雅黑" w:eastAsia="微软雅黑" w:cs="微软雅黑"/>
          <w:sz w:val="21"/>
          <w:szCs w:val="21"/>
          <w:lang w:eastAsia="zh-CN"/>
        </w:rPr>
        <w:t>15.2  在任何情况下，公信应有权因任何原因经即时通知终止本协议或任何工作说明书，而无须承担额外责任，但公信应支付截至终止日的满意提供之服务的所有未付款项。自公信根据本条发出终止通知之日，服务提供方不得发生任何新成本/工作。</w:t>
      </w:r>
    </w:p>
    <w:bookmarkEnd w:id="65"/>
    <w:p w14:paraId="0A678762">
      <w:pPr>
        <w:pStyle w:val="3"/>
        <w:spacing w:after="0"/>
        <w:rPr>
          <w:rFonts w:hint="eastAsia" w:ascii="微软雅黑" w:hAnsi="微软雅黑" w:eastAsia="微软雅黑" w:cs="微软雅黑"/>
          <w:sz w:val="21"/>
          <w:szCs w:val="21"/>
          <w:lang w:eastAsia="zh-CN"/>
        </w:rPr>
      </w:pPr>
      <w:bookmarkStart w:id="66" w:name="_Ref224897748"/>
      <w:r>
        <w:rPr>
          <w:rFonts w:hint="eastAsia" w:ascii="微软雅黑" w:hAnsi="微软雅黑" w:eastAsia="微软雅黑" w:cs="微软雅黑"/>
          <w:sz w:val="21"/>
          <w:szCs w:val="21"/>
          <w:lang w:eastAsia="zh-CN"/>
        </w:rPr>
        <w:t>15.3  出现下列情况，公信应有权经书面通知立刻终止本协议及/或任何工作说明书的全部或部分，且无须承担额外责任：</w:t>
      </w:r>
    </w:p>
    <w:bookmarkEnd w:id="66"/>
    <w:p w14:paraId="0A678763">
      <w:pPr>
        <w:pStyle w:val="5"/>
        <w:numPr>
          <w:ilvl w:val="0"/>
          <w:numId w:val="15"/>
        </w:numPr>
        <w:spacing w:after="0"/>
        <w:ind w:left="0" w:firstLine="0"/>
        <w:rPr>
          <w:rFonts w:hint="eastAsia" w:ascii="微软雅黑" w:hAnsi="微软雅黑" w:eastAsia="微软雅黑" w:cs="微软雅黑"/>
          <w:spacing w:val="-3"/>
          <w:sz w:val="21"/>
          <w:szCs w:val="21"/>
          <w:lang w:eastAsia="zh-CN"/>
        </w:rPr>
      </w:pPr>
      <w:r>
        <w:rPr>
          <w:rFonts w:hint="eastAsia" w:ascii="微软雅黑" w:hAnsi="微软雅黑" w:eastAsia="微软雅黑" w:cs="微软雅黑"/>
          <w:sz w:val="21"/>
          <w:szCs w:val="21"/>
          <w:lang w:eastAsia="zh-CN"/>
        </w:rPr>
        <w:t xml:space="preserve"> 服务提供方未能履行其在本协议下的任何义务，且未在公信通知该实质性履约不能起的三十（30）日内充分地补救该履约不能或无法补救该履约不能；或</w:t>
      </w:r>
    </w:p>
    <w:p w14:paraId="0A678764">
      <w:pPr>
        <w:pStyle w:val="5"/>
        <w:numPr>
          <w:ilvl w:val="0"/>
          <w:numId w:val="15"/>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服务提供方未能履行本协议下的任何实质性义务，包括（但不限于）其在</w:t>
      </w:r>
      <w:r>
        <w:rPr>
          <w:rFonts w:hint="eastAsia" w:ascii="微软雅黑" w:hAnsi="微软雅黑" w:eastAsia="微软雅黑" w:cs="微软雅黑"/>
          <w:sz w:val="21"/>
          <w:szCs w:val="21"/>
          <w:highlight w:val="yellow"/>
          <w:lang w:eastAsia="zh-CN"/>
        </w:rPr>
        <w:t>第7条、第8条或第9条</w:t>
      </w:r>
      <w:r>
        <w:rPr>
          <w:rFonts w:hint="eastAsia" w:ascii="微软雅黑" w:hAnsi="微软雅黑" w:eastAsia="微软雅黑" w:cs="微软雅黑"/>
          <w:sz w:val="21"/>
          <w:szCs w:val="21"/>
          <w:lang w:eastAsia="zh-CN"/>
        </w:rPr>
        <w:t>下的义务或未遵守任何适用法规；或</w:t>
      </w:r>
    </w:p>
    <w:p w14:paraId="0A678765">
      <w:pPr>
        <w:pStyle w:val="5"/>
        <w:numPr>
          <w:ilvl w:val="0"/>
          <w:numId w:val="15"/>
        </w:numPr>
        <w:tabs>
          <w:tab w:val="left" w:pos="720"/>
        </w:tabs>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服务提供方被解散或清算，依据破产法主动提起或被提起破产申请，为了其债权人之利益进行转让，有指定接管人接管其所有或实质性财产，或在其任何资产所在司法管辖地内发生了任何与前述相类似的事件。</w:t>
      </w:r>
    </w:p>
    <w:p w14:paraId="0A67876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15.4  无论以任何理由终止本协议，均不得终止任何履行中的工作说明书，除非该工作说明书也根据</w:t>
      </w:r>
      <w:r>
        <w:rPr>
          <w:rFonts w:hint="eastAsia" w:ascii="微软雅黑" w:hAnsi="微软雅黑" w:eastAsia="微软雅黑" w:cs="微软雅黑"/>
          <w:sz w:val="21"/>
          <w:szCs w:val="21"/>
          <w:highlight w:val="yellow"/>
          <w:lang w:eastAsia="zh-CN"/>
        </w:rPr>
        <w:t>第15.2或15.3条</w:t>
      </w:r>
      <w:r>
        <w:rPr>
          <w:rFonts w:hint="eastAsia" w:ascii="微软雅黑" w:hAnsi="微软雅黑" w:eastAsia="微软雅黑" w:cs="微软雅黑"/>
          <w:sz w:val="21"/>
          <w:szCs w:val="21"/>
          <w:lang w:eastAsia="zh-CN"/>
        </w:rPr>
        <w:t>而明确终止。</w:t>
      </w:r>
    </w:p>
    <w:p w14:paraId="0A678767">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15.5  在不损害第</w:t>
      </w:r>
      <w:r>
        <w:rPr>
          <w:rFonts w:hint="eastAsia" w:ascii="微软雅黑" w:hAnsi="微软雅黑" w:eastAsia="微软雅黑" w:cs="微软雅黑"/>
          <w:sz w:val="21"/>
          <w:szCs w:val="21"/>
          <w:highlight w:val="yellow"/>
          <w:lang w:eastAsia="zh-CN"/>
        </w:rPr>
        <w:t>2.4条</w:t>
      </w:r>
      <w:r>
        <w:rPr>
          <w:rFonts w:hint="eastAsia" w:ascii="微软雅黑" w:hAnsi="微软雅黑" w:eastAsia="微软雅黑" w:cs="微软雅黑"/>
          <w:sz w:val="21"/>
          <w:szCs w:val="21"/>
          <w:lang w:eastAsia="zh-CN"/>
        </w:rPr>
        <w:t>的情况下，本协议的条款将继续适用于任何履行中的工作说明书。如果工作说明书在本协议有效期结束前仍有效，则应根据按照工作说明书完成服务的情况来延长本协议。</w:t>
      </w:r>
    </w:p>
    <w:bookmarkEnd w:id="61"/>
    <w:bookmarkEnd w:id="62"/>
    <w:p w14:paraId="0A678768">
      <w:pPr>
        <w:pStyle w:val="3"/>
        <w:spacing w:after="0"/>
        <w:rPr>
          <w:rFonts w:hint="eastAsia" w:ascii="微软雅黑" w:hAnsi="微软雅黑" w:eastAsia="微软雅黑" w:cs="微软雅黑"/>
          <w:sz w:val="21"/>
          <w:szCs w:val="21"/>
          <w:lang w:eastAsia="zh-CN"/>
        </w:rPr>
      </w:pPr>
      <w:bookmarkStart w:id="67" w:name="_Ref223520421"/>
      <w:bookmarkStart w:id="68" w:name="_Toc205957346"/>
      <w:bookmarkStart w:id="69" w:name="_Ref213987725"/>
    </w:p>
    <w:bookmarkEnd w:id="67"/>
    <w:bookmarkEnd w:id="68"/>
    <w:bookmarkEnd w:id="69"/>
    <w:p w14:paraId="0A678769">
      <w:pPr>
        <w:spacing w:line="360" w:lineRule="auto"/>
        <w:rPr>
          <w:rFonts w:hint="eastAsia" w:ascii="微软雅黑" w:hAnsi="微软雅黑" w:eastAsia="微软雅黑" w:cs="微软雅黑"/>
          <w:b/>
          <w:sz w:val="21"/>
          <w:szCs w:val="21"/>
          <w:lang w:eastAsia="zh-CN"/>
        </w:rPr>
      </w:pPr>
      <w:bookmarkStart w:id="70" w:name="_Toc205956490"/>
      <w:bookmarkEnd w:id="70"/>
      <w:bookmarkStart w:id="71" w:name="_Toc205957350"/>
      <w:bookmarkEnd w:id="71"/>
      <w:bookmarkStart w:id="72" w:name="_Toc205956222"/>
      <w:bookmarkEnd w:id="72"/>
      <w:bookmarkStart w:id="73" w:name="_Toc205952683"/>
      <w:bookmarkEnd w:id="73"/>
      <w:bookmarkStart w:id="74" w:name="_Toc205952681"/>
      <w:bookmarkEnd w:id="74"/>
      <w:bookmarkStart w:id="75" w:name="_Toc205956488"/>
      <w:bookmarkEnd w:id="75"/>
      <w:bookmarkStart w:id="76" w:name="_Toc205957299"/>
      <w:bookmarkEnd w:id="76"/>
      <w:bookmarkStart w:id="77" w:name="_Toc205957297"/>
      <w:bookmarkEnd w:id="77"/>
      <w:bookmarkStart w:id="78" w:name="_Toc205957352"/>
      <w:bookmarkEnd w:id="78"/>
      <w:bookmarkStart w:id="79" w:name="_Toc205956220"/>
      <w:bookmarkEnd w:id="79"/>
      <w:r>
        <w:rPr>
          <w:rFonts w:hint="eastAsia" w:ascii="微软雅黑" w:hAnsi="微软雅黑" w:eastAsia="微软雅黑" w:cs="微软雅黑"/>
          <w:b/>
          <w:sz w:val="21"/>
          <w:szCs w:val="21"/>
          <w:lang w:eastAsia="zh-CN"/>
        </w:rPr>
        <w:t xml:space="preserve">第16节    </w:t>
      </w:r>
      <w:r>
        <w:rPr>
          <w:rFonts w:hint="eastAsia" w:ascii="微软雅黑" w:hAnsi="微软雅黑" w:eastAsia="微软雅黑" w:cs="微软雅黑"/>
          <w:b/>
          <w:sz w:val="21"/>
          <w:szCs w:val="21"/>
          <w:u w:val="single"/>
          <w:lang w:eastAsia="zh-CN"/>
        </w:rPr>
        <w:t>终止的后果</w:t>
      </w:r>
    </w:p>
    <w:p w14:paraId="0A67876A">
      <w:pPr>
        <w:spacing w:line="360" w:lineRule="auto"/>
        <w:rPr>
          <w:rFonts w:hint="eastAsia" w:ascii="微软雅黑" w:hAnsi="微软雅黑" w:eastAsia="微软雅黑" w:cs="微软雅黑"/>
          <w:sz w:val="21"/>
          <w:szCs w:val="21"/>
          <w:lang w:val="en-US" w:eastAsia="zh-CN"/>
        </w:rPr>
      </w:pPr>
    </w:p>
    <w:p w14:paraId="0A67876B">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16.1  本协议及/或任何工作说明书的全部或部分届满或终止，不得免除双方相互偿还欠款的义务，该等偿还义务将根据其条款在本协议届满或终止后持续有效。</w:t>
      </w:r>
    </w:p>
    <w:p w14:paraId="0A67876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16.2  在本协议及/或任何工作说明书终止或届满时，服务提供方承诺立刻向公信交付成果、进展中的成果以及公信或其关联公司的任何其他财产，不论该等财产是由服务提供方准备的或是公信供应的。此外，服务提供方承诺不会在向公信交付前对上述财产进行复制，除了服务提供方可以要求保留一份副本用于内部审计目的。公信应有权将成果和进展中的成果用于任何目的，而无须获得服务提供方的批准或通知服务提供方。</w:t>
      </w:r>
    </w:p>
    <w:p w14:paraId="0A67876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16.3  在本协议届满或终止后，为了实现双方的意图而在本质上应继续有效的任何规定，应在本协议届满或终止后继续有效，包括</w:t>
      </w:r>
      <w:r>
        <w:rPr>
          <w:rFonts w:hint="eastAsia" w:ascii="微软雅黑" w:hAnsi="微软雅黑" w:eastAsia="微软雅黑" w:cs="微软雅黑"/>
          <w:sz w:val="21"/>
          <w:szCs w:val="21"/>
          <w:highlight w:val="yellow"/>
          <w:lang w:eastAsia="zh-CN"/>
        </w:rPr>
        <w:t>第7、8、9、10、11、13、14、15、16和18条</w:t>
      </w:r>
      <w:r>
        <w:rPr>
          <w:rFonts w:hint="eastAsia" w:ascii="微软雅黑" w:hAnsi="微软雅黑" w:eastAsia="微软雅黑" w:cs="微软雅黑"/>
          <w:sz w:val="21"/>
          <w:szCs w:val="21"/>
          <w:lang w:eastAsia="zh-CN"/>
        </w:rPr>
        <w:t>。</w:t>
      </w:r>
    </w:p>
    <w:p w14:paraId="0A67876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16.4  在本协议终止或届满之时，或是双方书面约定的更早的时间，每一方应归还其可能已经收到的机密信息的所有副本，或是根据</w:t>
      </w:r>
      <w:r>
        <w:rPr>
          <w:rFonts w:hint="eastAsia" w:ascii="微软雅黑" w:hAnsi="微软雅黑" w:eastAsia="微软雅黑" w:cs="微软雅黑"/>
          <w:sz w:val="21"/>
          <w:szCs w:val="21"/>
          <w:highlight w:val="yellow"/>
          <w:lang w:eastAsia="zh-CN"/>
        </w:rPr>
        <w:t>第9条</w:t>
      </w:r>
      <w:r>
        <w:rPr>
          <w:rFonts w:hint="eastAsia" w:ascii="微软雅黑" w:hAnsi="微软雅黑" w:eastAsia="微软雅黑" w:cs="微软雅黑"/>
          <w:sz w:val="21"/>
          <w:szCs w:val="21"/>
          <w:lang w:eastAsia="zh-CN"/>
        </w:rPr>
        <w:t>以安全的方式销毁所有该等机密信息的副本。</w:t>
      </w:r>
    </w:p>
    <w:p w14:paraId="0A67876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16.5  在本协议届满或终止后，如果公信要求，服务提供方将提供必要服务，以促成向公信或其指定人有序转让服务。</w:t>
      </w:r>
    </w:p>
    <w:p w14:paraId="0A678770">
      <w:pPr>
        <w:pStyle w:val="3"/>
        <w:spacing w:after="0"/>
        <w:rPr>
          <w:rFonts w:hint="eastAsia" w:ascii="微软雅黑" w:hAnsi="微软雅黑" w:eastAsia="微软雅黑" w:cs="微软雅黑"/>
          <w:sz w:val="21"/>
          <w:szCs w:val="21"/>
          <w:lang w:eastAsia="zh-CN"/>
        </w:rPr>
      </w:pPr>
    </w:p>
    <w:p w14:paraId="0A678771">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第17节    </w:t>
      </w:r>
      <w:r>
        <w:rPr>
          <w:rFonts w:hint="eastAsia" w:ascii="微软雅黑" w:hAnsi="微软雅黑" w:eastAsia="微软雅黑" w:cs="微软雅黑"/>
          <w:b/>
          <w:sz w:val="21"/>
          <w:szCs w:val="21"/>
          <w:u w:val="single"/>
          <w:lang w:eastAsia="zh-CN"/>
        </w:rPr>
        <w:t>一般条款</w:t>
      </w:r>
    </w:p>
    <w:p w14:paraId="0A678772">
      <w:pPr>
        <w:spacing w:line="360" w:lineRule="auto"/>
        <w:rPr>
          <w:rFonts w:hint="eastAsia" w:ascii="微软雅黑" w:hAnsi="微软雅黑" w:eastAsia="微软雅黑" w:cs="微软雅黑"/>
          <w:sz w:val="21"/>
          <w:szCs w:val="21"/>
          <w:lang w:val="en-US" w:eastAsia="zh-CN"/>
        </w:rPr>
      </w:pPr>
    </w:p>
    <w:p w14:paraId="0A678773">
      <w:pPr>
        <w:pStyle w:val="3"/>
        <w:spacing w:after="0"/>
        <w:rPr>
          <w:rFonts w:hint="eastAsia" w:ascii="微软雅黑" w:hAnsi="微软雅黑" w:eastAsia="微软雅黑" w:cs="微软雅黑"/>
          <w:b/>
          <w:sz w:val="21"/>
          <w:szCs w:val="21"/>
          <w:lang w:eastAsia="zh-CN"/>
        </w:rPr>
      </w:pPr>
      <w:bookmarkStart w:id="80" w:name="_Toc205957356"/>
      <w:r>
        <w:rPr>
          <w:rFonts w:hint="eastAsia" w:ascii="微软雅黑" w:hAnsi="微软雅黑" w:eastAsia="微软雅黑" w:cs="微软雅黑"/>
          <w:b/>
          <w:sz w:val="21"/>
          <w:szCs w:val="21"/>
          <w:lang w:eastAsia="zh-CN"/>
        </w:rPr>
        <w:t>17.1   不可抗力</w:t>
      </w:r>
    </w:p>
    <w:p w14:paraId="0A67877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如果本协议任何一方仅因不可抗力原因而未能履行其在本协议下的任何义务，其不得视作对本协议的违约，但是，该未能履约的一方应继续在其能力范围内采取所有合理的行动，尽可能完整地履行本协议。如果该事件造成或被合理预期将造成超过九十（90）日的延期履行，则任何一方可以终止本协议及/或任何工作说明书，该终止在书面通知另一方时即刻生效。</w:t>
      </w:r>
    </w:p>
    <w:p w14:paraId="0A678775">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17.2   转让与分包</w:t>
      </w:r>
    </w:p>
    <w:p w14:paraId="0A67877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以及其中的每一个契约、条款和条件对本协议双方及其各自的继承人具有约束力，并为了他们的利益而设。未经另一方事先书面同意，任何一方不可全部或部分地转让或分包本协议，否则任何试图进行的该等转让将无效，但是，公信可书面通知服务提供方转让或分包本协议，而服务提供方可在获得公信书面同意后转让或分包本协议。</w:t>
      </w:r>
    </w:p>
    <w:p w14:paraId="0A678777">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17.3   完整的协议</w:t>
      </w:r>
    </w:p>
    <w:p w14:paraId="0A67877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是双方有关本协议主题事项和本协议拟议交易的最终的、完整的和排他性的约定的表达，并取代任何一方有关本协议主题事项和本协议拟议交易的所有先前的、口头或书面的约定、谅解、文件、提案、声明和通信。对本协议的任何修订或变更仅应以书面形式做出，并仅在双方授权代表签署后有效。</w:t>
      </w:r>
    </w:p>
    <w:p w14:paraId="0A678779">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17.4   可分割性</w:t>
      </w:r>
    </w:p>
    <w:p w14:paraId="0A67877A">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如果本协议的任何规定被有管辖权的法院认定为无效或不可执行，该无效或不可执行部分的规定应尽可能地以实现该部分规定原始商业目的的有效、可执行的规定替代，且本协议剩余的其他规定应继续对本协议双方具有约束力。</w:t>
      </w:r>
    </w:p>
    <w:p w14:paraId="0A67877B">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17.5   弃权</w:t>
      </w:r>
    </w:p>
    <w:p w14:paraId="0A67877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任何一方延迟或懈怠行使其对另一方不遵循或不履行本协议的任何条款而产生的权利，将不会损害该等权利或权力或是解释为对该等权利的放弃。本协议任何一方放弃将由另一方履行的任何契约、条件或约定，将不会解释为对随后发生的本协议的违约或本协议包含的任何契约、条件或约定的放弃。</w:t>
      </w:r>
    </w:p>
    <w:p w14:paraId="0A67877D">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17.6   优先顺序/附件</w:t>
      </w:r>
    </w:p>
    <w:p w14:paraId="0A67877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当前协议所附的附件是本协议的一部分。除非另外明确，本协议和其附件出现矛盾时，应以本协议规定为准。</w:t>
      </w:r>
    </w:p>
    <w:p w14:paraId="0A67877F">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17.7   通知</w:t>
      </w:r>
    </w:p>
    <w:p w14:paraId="0A67878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一方给予另一方的所有通知应以书面形式做出，通过挂号信寄送至下文明确的接收方。通知应于收到之时或寄出三（3）个营业日后（以较早的为准）视作送达，并且通知应向下列地址发出。</w:t>
      </w:r>
    </w:p>
    <w:p w14:paraId="0A678781">
      <w:pPr>
        <w:spacing w:line="360" w:lineRule="auto"/>
        <w:jc w:val="both"/>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highlight w:val="yellow"/>
          <w:lang w:eastAsia="zh-CN"/>
        </w:rPr>
        <w:t>至公信:   上海市虹口区吴淞路218号宝矿大厦30楼  Jessie Ge</w:t>
      </w:r>
    </w:p>
    <w:p w14:paraId="0A678782">
      <w:pPr>
        <w:spacing w:line="360" w:lineRule="auto"/>
        <w:jc w:val="both"/>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yellow"/>
          <w:lang w:eastAsia="zh-CN"/>
        </w:rPr>
        <w:tab/>
      </w:r>
      <w:r>
        <w:rPr>
          <w:rFonts w:hint="eastAsia" w:ascii="微软雅黑" w:hAnsi="微软雅黑" w:eastAsia="微软雅黑" w:cs="微软雅黑"/>
          <w:sz w:val="21"/>
          <w:szCs w:val="21"/>
          <w:highlight w:val="yellow"/>
          <w:lang w:eastAsia="zh-CN"/>
        </w:rPr>
        <w:t>至服务提供方:</w:t>
      </w:r>
    </w:p>
    <w:p w14:paraId="0A678783">
      <w:pPr>
        <w:pStyle w:val="3"/>
        <w:spacing w:after="0"/>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yellow"/>
          <w:lang w:val="en-US" w:eastAsia="zh-CN"/>
        </w:rPr>
        <w:t>一方联系方式的，应提前三个工作日书面通知对方，变更通知到达相对方之前相对方向上述联系方式发送的通知仍为有效通知</w:t>
      </w:r>
      <w:r>
        <w:rPr>
          <w:rFonts w:hint="eastAsia" w:ascii="微软雅黑" w:hAnsi="微软雅黑" w:eastAsia="微软雅黑" w:cs="微软雅黑"/>
          <w:sz w:val="21"/>
          <w:szCs w:val="21"/>
          <w:highlight w:val="yellow"/>
          <w:lang w:eastAsia="zh-CN"/>
        </w:rPr>
        <w:t>。</w:t>
      </w:r>
    </w:p>
    <w:p w14:paraId="0A678784">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17.8   标题</w:t>
      </w:r>
    </w:p>
    <w:p w14:paraId="0A678785">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标题仅为方便之目的而设，其不应影响本协议或其任何条款的含义或解释。</w:t>
      </w:r>
    </w:p>
    <w:p w14:paraId="0A678786">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17.9   进一步保证</w:t>
      </w:r>
    </w:p>
    <w:p w14:paraId="0A678787">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应在另一方合理要求时，自行或促使采取要求方不时可能合理认为必要的所有行动，并签署或促使有效签署要求方不时可能合理认为必要的所有文件，以使本协议完全生效并授予要求方在本协议下受让之资产、权利和利益的完全利益。</w:t>
      </w:r>
    </w:p>
    <w:bookmarkEnd w:id="80"/>
    <w:p w14:paraId="0A678788">
      <w:pPr>
        <w:pStyle w:val="3"/>
        <w:spacing w:after="0"/>
        <w:rPr>
          <w:rFonts w:hint="eastAsia" w:ascii="微软雅黑" w:hAnsi="微软雅黑" w:eastAsia="微软雅黑" w:cs="微软雅黑"/>
          <w:b/>
          <w:spacing w:val="-3"/>
          <w:sz w:val="21"/>
          <w:szCs w:val="21"/>
          <w:lang w:eastAsia="zh-CN"/>
        </w:rPr>
      </w:pPr>
      <w:r>
        <w:rPr>
          <w:rFonts w:hint="eastAsia" w:ascii="微软雅黑" w:hAnsi="微软雅黑" w:eastAsia="微软雅黑" w:cs="微软雅黑"/>
          <w:b/>
          <w:spacing w:val="-3"/>
          <w:sz w:val="21"/>
          <w:szCs w:val="21"/>
          <w:lang w:eastAsia="zh-CN"/>
        </w:rPr>
        <w:t>17.10   语言和文本</w:t>
      </w:r>
    </w:p>
    <w:p w14:paraId="0A67878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本协议自双方签署后生效，本协议正本一式两份，各方各执一份，具有同等效力。</w:t>
      </w:r>
      <w:bookmarkStart w:id="81" w:name="_Hlk93996867"/>
      <w:r>
        <w:rPr>
          <w:rFonts w:hint="eastAsia" w:ascii="微软雅黑" w:hAnsi="微软雅黑" w:eastAsia="微软雅黑" w:cs="微软雅黑"/>
          <w:sz w:val="21"/>
          <w:szCs w:val="21"/>
          <w:lang w:eastAsia="zh-CN"/>
        </w:rPr>
        <w:t>本</w:t>
      </w:r>
      <w:r>
        <w:rPr>
          <w:rFonts w:hint="eastAsia" w:ascii="微软雅黑" w:hAnsi="微软雅黑" w:eastAsia="微软雅黑" w:cs="微软雅黑"/>
          <w:sz w:val="21"/>
          <w:szCs w:val="21"/>
          <w:lang w:val="en-US" w:eastAsia="zh-CN"/>
        </w:rPr>
        <w:t>协议</w:t>
      </w:r>
      <w:r>
        <w:rPr>
          <w:rFonts w:hint="eastAsia" w:ascii="微软雅黑" w:hAnsi="微软雅黑" w:eastAsia="微软雅黑" w:cs="微软雅黑"/>
          <w:sz w:val="21"/>
          <w:szCs w:val="21"/>
          <w:lang w:eastAsia="zh-CN"/>
        </w:rPr>
        <w:t>正文及附</w:t>
      </w:r>
      <w:r>
        <w:rPr>
          <w:rFonts w:hint="eastAsia" w:ascii="微软雅黑" w:hAnsi="微软雅黑" w:eastAsia="微软雅黑" w:cs="微软雅黑"/>
          <w:sz w:val="21"/>
          <w:szCs w:val="21"/>
          <w:lang w:val="en-US" w:eastAsia="zh-CN"/>
        </w:rPr>
        <w:t>件</w:t>
      </w:r>
      <w:r>
        <w:rPr>
          <w:rFonts w:hint="eastAsia" w:ascii="微软雅黑" w:hAnsi="微软雅黑" w:eastAsia="微软雅黑" w:cs="微软雅黑"/>
          <w:sz w:val="21"/>
          <w:szCs w:val="21"/>
          <w:lang w:eastAsia="zh-CN"/>
        </w:rPr>
        <w:t>为清洁打印文本，如双方对此</w:t>
      </w:r>
      <w:r>
        <w:rPr>
          <w:rFonts w:hint="eastAsia" w:ascii="微软雅黑" w:hAnsi="微软雅黑" w:eastAsia="微软雅黑" w:cs="微软雅黑"/>
          <w:sz w:val="21"/>
          <w:szCs w:val="21"/>
          <w:lang w:val="en-US" w:eastAsia="zh-CN"/>
        </w:rPr>
        <w:t>协议</w:t>
      </w:r>
      <w:r>
        <w:rPr>
          <w:rFonts w:hint="eastAsia" w:ascii="微软雅黑" w:hAnsi="微软雅黑" w:eastAsia="微软雅黑" w:cs="微软雅黑"/>
          <w:sz w:val="21"/>
          <w:szCs w:val="21"/>
          <w:lang w:eastAsia="zh-CN"/>
        </w:rPr>
        <w:t>正文及附表有任何修改及补充均应另行签订补充协议。</w:t>
      </w:r>
      <w:r>
        <w:rPr>
          <w:rFonts w:hint="eastAsia" w:ascii="微软雅黑" w:hAnsi="微软雅黑" w:eastAsia="微软雅黑" w:cs="微软雅黑"/>
          <w:sz w:val="21"/>
          <w:szCs w:val="21"/>
          <w:lang w:val="en-US" w:eastAsia="zh-CN"/>
        </w:rPr>
        <w:t>协议</w:t>
      </w:r>
      <w:r>
        <w:rPr>
          <w:rFonts w:hint="eastAsia" w:ascii="微软雅黑" w:hAnsi="微软雅黑" w:eastAsia="微软雅黑" w:cs="微软雅黑"/>
          <w:sz w:val="21"/>
          <w:szCs w:val="21"/>
          <w:lang w:eastAsia="zh-CN"/>
        </w:rPr>
        <w:t>正文及附</w:t>
      </w:r>
      <w:r>
        <w:rPr>
          <w:rFonts w:hint="eastAsia" w:ascii="微软雅黑" w:hAnsi="微软雅黑" w:eastAsia="微软雅黑" w:cs="微软雅黑"/>
          <w:sz w:val="21"/>
          <w:szCs w:val="21"/>
          <w:lang w:val="en-US" w:eastAsia="zh-CN"/>
        </w:rPr>
        <w:t>件</w:t>
      </w:r>
      <w:r>
        <w:rPr>
          <w:rFonts w:hint="eastAsia" w:ascii="微软雅黑" w:hAnsi="微软雅黑" w:eastAsia="微软雅黑" w:cs="微软雅黑"/>
          <w:sz w:val="21"/>
          <w:szCs w:val="21"/>
          <w:lang w:eastAsia="zh-CN"/>
        </w:rPr>
        <w:t>中任何手写或涂改或非打印的文字或者图形，除非另经双方确认，否则不产生约束力。</w:t>
      </w:r>
      <w:bookmarkEnd w:id="81"/>
    </w:p>
    <w:p w14:paraId="0A67878A">
      <w:pPr>
        <w:pStyle w:val="3"/>
        <w:spacing w:after="0"/>
        <w:rPr>
          <w:rFonts w:hint="eastAsia" w:ascii="微软雅黑" w:hAnsi="微软雅黑" w:eastAsia="微软雅黑" w:cs="微软雅黑"/>
          <w:sz w:val="21"/>
          <w:szCs w:val="21"/>
          <w:lang w:eastAsia="zh-CN"/>
        </w:rPr>
      </w:pPr>
      <w:bookmarkStart w:id="82" w:name="_DV_C713"/>
    </w:p>
    <w:bookmarkEnd w:id="82"/>
    <w:p w14:paraId="0A67878B">
      <w:pPr>
        <w:spacing w:line="360" w:lineRule="auto"/>
        <w:rPr>
          <w:rFonts w:hint="eastAsia" w:ascii="微软雅黑" w:hAnsi="微软雅黑" w:eastAsia="微软雅黑" w:cs="微软雅黑"/>
          <w:b/>
          <w:sz w:val="21"/>
          <w:szCs w:val="21"/>
          <w:lang w:eastAsia="zh-CN"/>
        </w:rPr>
      </w:pPr>
      <w:bookmarkStart w:id="83" w:name="_Ref224723900"/>
      <w:r>
        <w:rPr>
          <w:rFonts w:hint="eastAsia" w:ascii="微软雅黑" w:hAnsi="微软雅黑" w:eastAsia="微软雅黑" w:cs="微软雅黑"/>
          <w:b/>
          <w:sz w:val="21"/>
          <w:szCs w:val="21"/>
          <w:lang w:eastAsia="zh-CN"/>
        </w:rPr>
        <w:t xml:space="preserve">第18节    </w:t>
      </w:r>
      <w:r>
        <w:rPr>
          <w:rFonts w:hint="eastAsia" w:ascii="微软雅黑" w:hAnsi="微软雅黑" w:eastAsia="微软雅黑" w:cs="微软雅黑"/>
          <w:b/>
          <w:sz w:val="21"/>
          <w:szCs w:val="21"/>
          <w:u w:val="single"/>
          <w:lang w:eastAsia="zh-CN"/>
        </w:rPr>
        <w:t>适用法律和争议解决</w:t>
      </w:r>
    </w:p>
    <w:bookmarkEnd w:id="83"/>
    <w:p w14:paraId="0A67878C">
      <w:pPr>
        <w:spacing w:line="360" w:lineRule="auto"/>
        <w:rPr>
          <w:rFonts w:hint="eastAsia" w:ascii="微软雅黑" w:hAnsi="微软雅黑" w:eastAsia="微软雅黑" w:cs="微软雅黑"/>
          <w:sz w:val="21"/>
          <w:szCs w:val="21"/>
          <w:lang w:val="en-US" w:eastAsia="zh-CN"/>
        </w:rPr>
      </w:pPr>
    </w:p>
    <w:p w14:paraId="0A67878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本协议应适用中华人民共和国法律并据之解释。任何未友好和解的争议应提交给中国国际经济贸易仲裁委员会（下称“贸仲委”）在上海根据届时有效的仲裁规则解决。</w:t>
      </w:r>
    </w:p>
    <w:p w14:paraId="0A67878E">
      <w:pPr>
        <w:tabs>
          <w:tab w:val="left" w:pos="709"/>
          <w:tab w:val="left" w:pos="1418"/>
          <w:tab w:val="left" w:pos="2127"/>
        </w:tabs>
        <w:spacing w:line="360" w:lineRule="auto"/>
        <w:jc w:val="both"/>
        <w:rPr>
          <w:rFonts w:hint="eastAsia" w:ascii="微软雅黑" w:hAnsi="微软雅黑" w:eastAsia="微软雅黑" w:cs="微软雅黑"/>
          <w:sz w:val="21"/>
          <w:szCs w:val="21"/>
          <w:lang w:eastAsia="zh-CN"/>
        </w:rPr>
      </w:pPr>
    </w:p>
    <w:p w14:paraId="0A67878F">
      <w:pPr>
        <w:pStyle w:val="33"/>
        <w:tabs>
          <w:tab w:val="left" w:pos="5103"/>
        </w:tabs>
        <w:spacing w:after="0" w:line="360" w:lineRule="auto"/>
        <w:rPr>
          <w:rFonts w:hint="eastAsia" w:ascii="微软雅黑" w:hAnsi="微软雅黑" w:eastAsia="微软雅黑" w:cs="微软雅黑"/>
          <w:sz w:val="21"/>
          <w:szCs w:val="21"/>
          <w:lang w:val="en-US" w:eastAsia="zh-CN"/>
        </w:rPr>
      </w:pPr>
      <w:bookmarkStart w:id="84" w:name="OLE_LINK308"/>
      <w:bookmarkStart w:id="85" w:name="OLE_LINK309"/>
      <w:r>
        <w:rPr>
          <w:rFonts w:hint="eastAsia" w:ascii="微软雅黑" w:hAnsi="微软雅黑" w:eastAsia="微软雅黑" w:cs="微软雅黑"/>
          <w:b/>
          <w:sz w:val="21"/>
          <w:szCs w:val="21"/>
          <w:lang w:val="en-US" w:eastAsia="zh-CN"/>
        </w:rPr>
        <w:t>上海麦田公共关系咨询有限公司</w:t>
      </w:r>
      <w:r>
        <w:rPr>
          <w:rFonts w:hint="eastAsia" w:ascii="微软雅黑" w:hAnsi="微软雅黑" w:eastAsia="微软雅黑" w:cs="微软雅黑"/>
          <w:sz w:val="21"/>
          <w:szCs w:val="21"/>
          <w:lang w:val="en-US" w:eastAsia="zh-CN"/>
        </w:rPr>
        <w:tab/>
      </w:r>
      <w:r>
        <w:rPr>
          <w:rFonts w:hint="eastAsia" w:ascii="微软雅黑" w:hAnsi="微软雅黑" w:eastAsia="微软雅黑" w:cs="微软雅黑"/>
          <w:b/>
          <w:bCs/>
          <w:sz w:val="21"/>
          <w:szCs w:val="21"/>
          <w:lang w:val="en-US" w:eastAsia="zh-CN"/>
        </w:rPr>
        <w:t>公信贸易(上海)有限公司</w:t>
      </w:r>
    </w:p>
    <w:p w14:paraId="0A678790">
      <w:pPr>
        <w:tabs>
          <w:tab w:val="left" w:pos="5103"/>
        </w:tabs>
        <w:spacing w:line="360" w:lineRule="auto"/>
        <w:jc w:val="both"/>
        <w:rPr>
          <w:rFonts w:hint="eastAsia" w:ascii="微软雅黑" w:hAnsi="微软雅黑" w:eastAsia="微软雅黑" w:cs="微软雅黑"/>
          <w:sz w:val="21"/>
          <w:szCs w:val="21"/>
          <w:lang w:eastAsia="zh-CN"/>
        </w:rPr>
      </w:pPr>
    </w:p>
    <w:p w14:paraId="0A678791">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____________________</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____________________</w:t>
      </w:r>
    </w:p>
    <w:p w14:paraId="0A678792">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姓名：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姓名：</w:t>
      </w:r>
    </w:p>
    <w:p w14:paraId="0A678793">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职位：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职位</w:t>
      </w:r>
    </w:p>
    <w:p w14:paraId="0A678794">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日期：</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日期：</w:t>
      </w:r>
    </w:p>
    <w:p w14:paraId="0A678795">
      <w:pPr>
        <w:tabs>
          <w:tab w:val="left" w:pos="5103"/>
        </w:tabs>
        <w:spacing w:line="360" w:lineRule="auto"/>
        <w:jc w:val="both"/>
        <w:rPr>
          <w:rFonts w:hint="eastAsia" w:ascii="微软雅黑" w:hAnsi="微软雅黑" w:eastAsia="微软雅黑" w:cs="微软雅黑"/>
          <w:sz w:val="21"/>
          <w:szCs w:val="21"/>
          <w:lang w:eastAsia="zh-CN"/>
        </w:rPr>
      </w:pPr>
    </w:p>
    <w:p w14:paraId="0A678796">
      <w:pPr>
        <w:tabs>
          <w:tab w:val="left" w:pos="5103"/>
        </w:tabs>
        <w:spacing w:line="360" w:lineRule="auto"/>
        <w:jc w:val="both"/>
        <w:rPr>
          <w:rFonts w:hint="eastAsia" w:ascii="微软雅黑" w:hAnsi="微软雅黑" w:eastAsia="微软雅黑" w:cs="微软雅黑"/>
          <w:sz w:val="21"/>
          <w:szCs w:val="21"/>
          <w:lang w:eastAsia="zh-CN"/>
        </w:rPr>
      </w:pPr>
    </w:p>
    <w:p w14:paraId="0A678797">
      <w:pPr>
        <w:tabs>
          <w:tab w:val="left" w:pos="5103"/>
        </w:tabs>
        <w:spacing w:line="360" w:lineRule="auto"/>
        <w:jc w:val="both"/>
        <w:rPr>
          <w:rFonts w:hint="eastAsia" w:ascii="微软雅黑" w:hAnsi="微软雅黑" w:eastAsia="微软雅黑" w:cs="微软雅黑"/>
          <w:sz w:val="21"/>
          <w:szCs w:val="21"/>
          <w:lang w:eastAsia="zh-CN"/>
        </w:rPr>
      </w:pPr>
    </w:p>
    <w:p w14:paraId="0A678798">
      <w:pPr>
        <w:tabs>
          <w:tab w:val="left" w:pos="5103"/>
        </w:tabs>
        <w:spacing w:line="360" w:lineRule="auto"/>
        <w:jc w:val="both"/>
        <w:rPr>
          <w:rFonts w:hint="eastAsia" w:ascii="微软雅黑" w:hAnsi="微软雅黑" w:eastAsia="微软雅黑" w:cs="微软雅黑"/>
          <w:sz w:val="21"/>
          <w:szCs w:val="21"/>
          <w:lang w:eastAsia="zh-CN"/>
        </w:rPr>
      </w:pPr>
    </w:p>
    <w:p w14:paraId="0A678799">
      <w:pPr>
        <w:tabs>
          <w:tab w:val="left" w:pos="5103"/>
        </w:tabs>
        <w:spacing w:line="360" w:lineRule="auto"/>
        <w:jc w:val="both"/>
        <w:rPr>
          <w:rFonts w:hint="eastAsia" w:ascii="微软雅黑" w:hAnsi="微软雅黑" w:eastAsia="微软雅黑" w:cs="微软雅黑"/>
          <w:sz w:val="21"/>
          <w:szCs w:val="21"/>
          <w:lang w:eastAsia="zh-CN"/>
        </w:rPr>
      </w:pPr>
    </w:p>
    <w:p w14:paraId="0A67879A">
      <w:pPr>
        <w:spacing w:line="360" w:lineRule="auto"/>
        <w:rPr>
          <w:rFonts w:hint="eastAsia" w:ascii="微软雅黑" w:hAnsi="微软雅黑" w:eastAsia="微软雅黑" w:cs="微软雅黑"/>
          <w:sz w:val="21"/>
          <w:szCs w:val="21"/>
          <w:lang w:eastAsia="zh-CN"/>
        </w:rPr>
      </w:pPr>
    </w:p>
    <w:p w14:paraId="0A67879B">
      <w:pPr>
        <w:spacing w:line="360" w:lineRule="auto"/>
        <w:rPr>
          <w:rFonts w:hint="eastAsia" w:ascii="微软雅黑" w:hAnsi="微软雅黑" w:eastAsia="微软雅黑" w:cs="微软雅黑"/>
          <w:sz w:val="21"/>
          <w:szCs w:val="21"/>
          <w:lang w:eastAsia="zh-CN"/>
        </w:rPr>
      </w:pPr>
    </w:p>
    <w:p w14:paraId="0A67879C">
      <w:pPr>
        <w:spacing w:line="360" w:lineRule="auto"/>
        <w:rPr>
          <w:rFonts w:hint="eastAsia" w:ascii="微软雅黑" w:hAnsi="微软雅黑" w:eastAsia="微软雅黑" w:cs="微软雅黑"/>
          <w:sz w:val="21"/>
          <w:szCs w:val="21"/>
          <w:lang w:eastAsia="zh-CN"/>
        </w:rPr>
      </w:pPr>
    </w:p>
    <w:p w14:paraId="0A67879D">
      <w:pPr>
        <w:tabs>
          <w:tab w:val="left" w:pos="5103"/>
        </w:tabs>
        <w:spacing w:line="360" w:lineRule="auto"/>
        <w:jc w:val="both"/>
        <w:rPr>
          <w:rFonts w:hint="eastAsia" w:ascii="微软雅黑" w:hAnsi="微软雅黑" w:eastAsia="微软雅黑" w:cs="微软雅黑"/>
          <w:sz w:val="21"/>
          <w:szCs w:val="21"/>
          <w:lang w:eastAsia="zh-CN"/>
        </w:rPr>
      </w:pPr>
    </w:p>
    <w:p w14:paraId="2F43F825">
      <w:pPr>
        <w:tabs>
          <w:tab w:val="left" w:pos="5103"/>
        </w:tabs>
        <w:spacing w:line="360" w:lineRule="auto"/>
        <w:jc w:val="both"/>
        <w:rPr>
          <w:rFonts w:hint="eastAsia" w:ascii="微软雅黑" w:hAnsi="微软雅黑" w:eastAsia="微软雅黑" w:cs="微软雅黑"/>
          <w:sz w:val="21"/>
          <w:szCs w:val="21"/>
          <w:lang w:eastAsia="zh-CN"/>
        </w:rPr>
      </w:pPr>
    </w:p>
    <w:p w14:paraId="0F48B628">
      <w:pPr>
        <w:tabs>
          <w:tab w:val="left" w:pos="5103"/>
        </w:tabs>
        <w:spacing w:line="360" w:lineRule="auto"/>
        <w:jc w:val="both"/>
        <w:rPr>
          <w:rFonts w:hint="eastAsia" w:ascii="微软雅黑" w:hAnsi="微软雅黑" w:eastAsia="微软雅黑" w:cs="微软雅黑"/>
          <w:sz w:val="21"/>
          <w:szCs w:val="21"/>
          <w:lang w:eastAsia="zh-CN"/>
        </w:rPr>
      </w:pPr>
    </w:p>
    <w:p w14:paraId="650ED68B">
      <w:pPr>
        <w:tabs>
          <w:tab w:val="left" w:pos="5103"/>
        </w:tabs>
        <w:spacing w:line="360" w:lineRule="auto"/>
        <w:jc w:val="both"/>
        <w:rPr>
          <w:rFonts w:hint="eastAsia" w:ascii="微软雅黑" w:hAnsi="微软雅黑" w:eastAsia="微软雅黑" w:cs="微软雅黑"/>
          <w:sz w:val="21"/>
          <w:szCs w:val="21"/>
          <w:lang w:eastAsia="zh-CN"/>
        </w:rPr>
      </w:pPr>
    </w:p>
    <w:p w14:paraId="7BC8A9A9">
      <w:pPr>
        <w:tabs>
          <w:tab w:val="left" w:pos="5103"/>
        </w:tabs>
        <w:spacing w:line="360" w:lineRule="auto"/>
        <w:jc w:val="both"/>
        <w:rPr>
          <w:rFonts w:hint="eastAsia" w:ascii="微软雅黑" w:hAnsi="微软雅黑" w:eastAsia="微软雅黑" w:cs="微软雅黑"/>
          <w:sz w:val="21"/>
          <w:szCs w:val="21"/>
          <w:lang w:eastAsia="zh-CN"/>
        </w:rPr>
      </w:pPr>
    </w:p>
    <w:bookmarkEnd w:id="84"/>
    <w:bookmarkEnd w:id="85"/>
    <w:p w14:paraId="0A67879E">
      <w:pPr>
        <w:tabs>
          <w:tab w:val="left" w:pos="709"/>
          <w:tab w:val="left" w:pos="1418"/>
          <w:tab w:val="left" w:pos="2127"/>
          <w:tab w:val="left" w:pos="4536"/>
          <w:tab w:val="left" w:pos="5103"/>
        </w:tabs>
        <w:spacing w:line="360" w:lineRule="auto"/>
        <w:jc w:val="center"/>
        <w:rPr>
          <w:rFonts w:hint="eastAsia" w:ascii="微软雅黑" w:hAnsi="微软雅黑" w:eastAsia="微软雅黑" w:cs="微软雅黑"/>
          <w:sz w:val="21"/>
          <w:szCs w:val="21"/>
          <w:u w:val="single"/>
          <w:lang w:eastAsia="zh-CN"/>
        </w:rPr>
      </w:pPr>
      <w:r>
        <w:rPr>
          <w:rFonts w:hint="eastAsia" w:ascii="微软雅黑" w:hAnsi="微软雅黑" w:eastAsia="微软雅黑" w:cs="微软雅黑"/>
          <w:b/>
          <w:sz w:val="21"/>
          <w:szCs w:val="21"/>
          <w:u w:val="single"/>
          <w:lang w:eastAsia="zh-CN"/>
        </w:rPr>
        <w:t>附件1</w:t>
      </w:r>
    </w:p>
    <w:p w14:paraId="0A6787A0">
      <w:pPr>
        <w:tabs>
          <w:tab w:val="left" w:pos="-1440"/>
          <w:tab w:val="left" w:pos="-720"/>
        </w:tabs>
        <w:suppressAutoHyphens/>
        <w:spacing w:line="360" w:lineRule="auto"/>
        <w:jc w:val="center"/>
        <w:rPr>
          <w:rFonts w:hint="eastAsia" w:ascii="微软雅黑" w:hAnsi="微软雅黑" w:eastAsia="微软雅黑" w:cs="微软雅黑"/>
          <w:b/>
          <w:sz w:val="21"/>
          <w:szCs w:val="21"/>
          <w:u w:val="single"/>
          <w:lang w:eastAsia="zh-CN"/>
        </w:rPr>
      </w:pPr>
      <w:r>
        <w:rPr>
          <w:rFonts w:hint="eastAsia" w:ascii="微软雅黑" w:hAnsi="微软雅黑" w:eastAsia="微软雅黑" w:cs="微软雅黑"/>
          <w:b/>
          <w:sz w:val="21"/>
          <w:szCs w:val="21"/>
          <w:u w:val="single"/>
          <w:lang w:eastAsia="zh-CN"/>
        </w:rPr>
        <w:t>工作说明书</w:t>
      </w:r>
    </w:p>
    <w:p w14:paraId="0A6787A1">
      <w:pPr>
        <w:tabs>
          <w:tab w:val="left" w:pos="-1440"/>
          <w:tab w:val="left" w:pos="-720"/>
        </w:tabs>
        <w:suppressAutoHyphens/>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本工作说明书于【</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lang w:eastAsia="zh-CN"/>
        </w:rPr>
        <w:t>年【</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月</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日，由公信贸易(上海)有限公司及其</w:t>
      </w:r>
      <w:r>
        <w:rPr>
          <w:rFonts w:hint="eastAsia" w:ascii="微软雅黑" w:hAnsi="微软雅黑" w:eastAsia="微软雅黑" w:cs="微软雅黑"/>
          <w:sz w:val="21"/>
          <w:szCs w:val="21"/>
          <w:lang w:val="en-US" w:eastAsia="zh-CN"/>
        </w:rPr>
        <w:t>各关联</w:t>
      </w:r>
      <w:r>
        <w:rPr>
          <w:rFonts w:hint="eastAsia" w:ascii="微软雅黑" w:hAnsi="微软雅黑" w:eastAsia="微软雅黑" w:cs="微软雅黑"/>
          <w:sz w:val="21"/>
          <w:szCs w:val="21"/>
          <w:lang w:eastAsia="zh-CN"/>
        </w:rPr>
        <w:t>公司与</w:t>
      </w:r>
      <w:r>
        <w:rPr>
          <w:rFonts w:hint="eastAsia" w:ascii="微软雅黑" w:hAnsi="微软雅黑" w:eastAsia="微软雅黑" w:cs="微软雅黑"/>
          <w:sz w:val="21"/>
          <w:szCs w:val="21"/>
          <w:highlight w:val="yellow"/>
          <w:lang w:val="en-US" w:eastAsia="zh-CN"/>
        </w:rPr>
        <w:t>上海麦田公共关系咨询有限公司</w:t>
      </w:r>
      <w:r>
        <w:rPr>
          <w:rFonts w:hint="eastAsia" w:ascii="微软雅黑" w:hAnsi="微软雅黑" w:eastAsia="微软雅黑" w:cs="微软雅黑"/>
          <w:sz w:val="21"/>
          <w:szCs w:val="21"/>
          <w:lang w:eastAsia="zh-CN"/>
        </w:rPr>
        <w:t>签订。</w:t>
      </w:r>
    </w:p>
    <w:p w14:paraId="0A6787A2">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w:t>
      </w:r>
      <w:r>
        <w:rPr>
          <w:rFonts w:hint="eastAsia" w:ascii="微软雅黑" w:hAnsi="微软雅黑" w:eastAsia="微软雅黑" w:cs="微软雅黑"/>
          <w:b/>
          <w:bCs/>
          <w:sz w:val="21"/>
          <w:szCs w:val="21"/>
          <w:lang w:eastAsia="zh-CN"/>
        </w:rPr>
        <w:t>公信贸易(上海)有限公司</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sz w:val="21"/>
          <w:szCs w:val="21"/>
          <w:lang w:eastAsia="zh-CN"/>
        </w:rPr>
        <w:t>一家根据中华人民共和国法律成立的公司</w:t>
      </w:r>
      <w:bookmarkStart w:id="86" w:name="OLE_LINK227"/>
      <w:bookmarkStart w:id="87" w:name="OLE_LINK226"/>
      <w:r>
        <w:rPr>
          <w:rFonts w:hint="eastAsia" w:ascii="微软雅黑" w:hAnsi="微软雅黑" w:eastAsia="微软雅黑" w:cs="微软雅黑"/>
          <w:sz w:val="21"/>
          <w:szCs w:val="21"/>
          <w:lang w:eastAsia="zh-CN"/>
        </w:rPr>
        <w:t>，</w:t>
      </w:r>
      <w:bookmarkEnd w:id="86"/>
      <w:bookmarkEnd w:id="87"/>
      <w:r>
        <w:rPr>
          <w:rFonts w:hint="eastAsia" w:ascii="微软雅黑" w:hAnsi="微软雅黑" w:eastAsia="微软雅黑" w:cs="微软雅黑"/>
          <w:sz w:val="21"/>
          <w:szCs w:val="21"/>
          <w:lang w:eastAsia="zh-CN"/>
        </w:rPr>
        <w:t>公司</w:t>
      </w:r>
      <w:r>
        <w:rPr>
          <w:rFonts w:hint="eastAsia" w:ascii="微软雅黑" w:hAnsi="微软雅黑" w:eastAsia="微软雅黑" w:cs="微软雅黑"/>
          <w:sz w:val="21"/>
          <w:szCs w:val="21"/>
          <w:lang w:val="en-US" w:eastAsia="zh-CN"/>
        </w:rPr>
        <w:t>统一社会信用代码</w:t>
      </w:r>
      <w:r>
        <w:rPr>
          <w:rFonts w:hint="eastAsia" w:ascii="微软雅黑" w:hAnsi="微软雅黑" w:eastAsia="微软雅黑" w:cs="微软雅黑"/>
          <w:sz w:val="21"/>
          <w:szCs w:val="21"/>
          <w:lang w:eastAsia="zh-CN"/>
        </w:rPr>
        <w:t>是[</w:t>
      </w:r>
      <w:r>
        <w:rPr>
          <w:rFonts w:ascii="微软雅黑" w:hAnsi="微软雅黑" w:eastAsia="微软雅黑" w:cs="微软雅黑"/>
          <w:sz w:val="21"/>
          <w:szCs w:val="21"/>
          <w:lang w:eastAsia="zh-CN"/>
        </w:rPr>
        <w:t>9131000057913199X2</w:t>
      </w:r>
      <w:r>
        <w:rPr>
          <w:rFonts w:hint="eastAsia" w:ascii="微软雅黑" w:hAnsi="微软雅黑" w:eastAsia="微软雅黑" w:cs="微软雅黑"/>
          <w:sz w:val="21"/>
          <w:szCs w:val="21"/>
          <w:lang w:eastAsia="zh-CN"/>
        </w:rPr>
        <w:t>]，注册办事处位于【</w:t>
      </w:r>
      <w:r>
        <w:rPr>
          <w:rFonts w:hint="eastAsia" w:ascii="微软雅黑" w:hAnsi="微软雅黑" w:eastAsia="微软雅黑" w:cs="微软雅黑"/>
          <w:sz w:val="21"/>
          <w:szCs w:val="21"/>
          <w:lang w:val="en-US" w:eastAsia="zh-CN"/>
        </w:rPr>
        <w:t>上海市虹口区吴淞路218号30楼01A单元】</w:t>
      </w:r>
      <w:r>
        <w:rPr>
          <w:rFonts w:hint="eastAsia" w:ascii="微软雅黑" w:hAnsi="微软雅黑" w:eastAsia="微软雅黑" w:cs="微软雅黑"/>
          <w:sz w:val="21"/>
          <w:szCs w:val="21"/>
          <w:lang w:eastAsia="zh-CN"/>
        </w:rPr>
        <w:t>，邮编200080，及其</w:t>
      </w:r>
      <w:r>
        <w:rPr>
          <w:rFonts w:hint="eastAsia" w:ascii="微软雅黑" w:hAnsi="微软雅黑" w:eastAsia="微软雅黑" w:cs="微软雅黑"/>
          <w:sz w:val="21"/>
          <w:szCs w:val="21"/>
          <w:lang w:val="en-US" w:eastAsia="zh-CN"/>
        </w:rPr>
        <w:t>各关联</w:t>
      </w:r>
      <w:r>
        <w:rPr>
          <w:rFonts w:hint="eastAsia" w:ascii="微软雅黑" w:hAnsi="微软雅黑" w:eastAsia="微软雅黑" w:cs="微软雅黑"/>
          <w:sz w:val="21"/>
          <w:szCs w:val="21"/>
          <w:lang w:eastAsia="zh-CN"/>
        </w:rPr>
        <w:t>公司【公信贸易（上海）有限公司北京分公司，合称“</w:t>
      </w:r>
      <w:r>
        <w:rPr>
          <w:rFonts w:hint="eastAsia" w:ascii="微软雅黑" w:hAnsi="微软雅黑" w:eastAsia="微软雅黑" w:cs="微软雅黑"/>
          <w:b/>
          <w:bCs/>
          <w:sz w:val="21"/>
          <w:szCs w:val="21"/>
          <w:lang w:val="en-US" w:eastAsia="zh-CN"/>
        </w:rPr>
        <w:t>公信</w:t>
      </w:r>
      <w:r>
        <w:rPr>
          <w:rFonts w:hint="eastAsia" w:ascii="微软雅黑" w:hAnsi="微软雅黑" w:eastAsia="微软雅黑" w:cs="微软雅黑"/>
          <w:sz w:val="21"/>
          <w:szCs w:val="21"/>
          <w:lang w:eastAsia="zh-CN"/>
        </w:rPr>
        <w:t>”】，及</w:t>
      </w:r>
      <w:bookmarkStart w:id="91" w:name="_GoBack"/>
      <w:bookmarkEnd w:id="91"/>
    </w:p>
    <w:p w14:paraId="0A6787A3">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sz w:val="21"/>
          <w:szCs w:val="21"/>
          <w:lang w:eastAsia="zh-CN"/>
        </w:rPr>
        <w:t>，一家根据中华人民共和国法律成立的企业，其注册在</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上海市崇明区三星镇协进村1814号5幢102室</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lang w:eastAsia="zh-CN"/>
        </w:rPr>
        <w:t>，公司号码是</w:t>
      </w:r>
      <w:r>
        <w:rPr>
          <w:rFonts w:hint="eastAsia" w:ascii="微软雅黑" w:hAnsi="微软雅黑" w:eastAsia="微软雅黑" w:cs="微软雅黑"/>
          <w:sz w:val="21"/>
          <w:szCs w:val="21"/>
          <w:highlight w:val="yellow"/>
          <w:lang w:eastAsia="zh-CN"/>
        </w:rPr>
        <w:t>[91310118745630867T]</w:t>
      </w:r>
      <w:r>
        <w:rPr>
          <w:rFonts w:hint="eastAsia" w:ascii="微软雅黑" w:hAnsi="微软雅黑" w:eastAsia="微软雅黑" w:cs="微软雅黑"/>
          <w:sz w:val="21"/>
          <w:szCs w:val="21"/>
          <w:lang w:eastAsia="zh-CN"/>
        </w:rPr>
        <w:t>，注册办事处位于</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上海市静安区成都北路333号招商局广场南楼26楼</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lang w:eastAsia="zh-CN"/>
        </w:rPr>
        <w:t>，下称“</w:t>
      </w:r>
      <w:r>
        <w:rPr>
          <w:rFonts w:hint="eastAsia" w:ascii="微软雅黑" w:hAnsi="微软雅黑" w:eastAsia="微软雅黑" w:cs="微软雅黑"/>
          <w:b/>
          <w:sz w:val="21"/>
          <w:szCs w:val="21"/>
          <w:lang w:eastAsia="zh-CN"/>
        </w:rPr>
        <w:t>服务提供方</w:t>
      </w:r>
      <w:r>
        <w:rPr>
          <w:rFonts w:hint="eastAsia" w:ascii="微软雅黑" w:hAnsi="微软雅黑" w:eastAsia="微软雅黑" w:cs="微软雅黑"/>
          <w:sz w:val="21"/>
          <w:szCs w:val="21"/>
          <w:lang w:eastAsia="zh-CN"/>
        </w:rPr>
        <w:t>”，</w:t>
      </w:r>
    </w:p>
    <w:p w14:paraId="0A6787A4">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以下单称为“一方”，合称为“双方”。</w:t>
      </w:r>
    </w:p>
    <w:p w14:paraId="0A6787A5">
      <w:pPr>
        <w:spacing w:line="360" w:lineRule="auto"/>
        <w:jc w:val="both"/>
        <w:rPr>
          <w:rFonts w:hint="eastAsia" w:ascii="微软雅黑" w:hAnsi="微软雅黑" w:eastAsia="微软雅黑" w:cs="微软雅黑"/>
          <w:sz w:val="21"/>
          <w:szCs w:val="21"/>
          <w:lang w:eastAsia="zh-CN"/>
        </w:rPr>
      </w:pPr>
    </w:p>
    <w:p w14:paraId="0A6787A6">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鉴于，</w:t>
      </w:r>
      <w:r>
        <w:rPr>
          <w:rFonts w:hint="eastAsia" w:ascii="微软雅黑" w:hAnsi="微软雅黑" w:eastAsia="微软雅黑" w:cs="微软雅黑"/>
          <w:b/>
          <w:sz w:val="21"/>
          <w:szCs w:val="21"/>
          <w:highlight w:val="yellow"/>
          <w:lang w:eastAsia="zh-CN"/>
        </w:rPr>
        <w:t>[公信贸易(上海)有限公司]</w:t>
      </w:r>
      <w:r>
        <w:rPr>
          <w:rFonts w:hint="eastAsia" w:ascii="微软雅黑" w:hAnsi="微软雅黑" w:eastAsia="微软雅黑" w:cs="微软雅黑"/>
          <w:sz w:val="21"/>
          <w:szCs w:val="21"/>
          <w:lang w:eastAsia="zh-CN"/>
        </w:rPr>
        <w:t>和</w:t>
      </w: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sz w:val="21"/>
          <w:szCs w:val="21"/>
          <w:highlight w:val="yellow"/>
          <w:lang w:eastAsia="zh-CN"/>
        </w:rPr>
        <w:t xml:space="preserve"> </w:t>
      </w:r>
      <w:r>
        <w:rPr>
          <w:rFonts w:hint="eastAsia" w:ascii="微软雅黑" w:hAnsi="微软雅黑" w:eastAsia="微软雅黑" w:cs="微软雅黑"/>
          <w:sz w:val="21"/>
          <w:szCs w:val="21"/>
          <w:lang w:eastAsia="zh-CN"/>
        </w:rPr>
        <w:t>已经于</w:t>
      </w:r>
      <w:r>
        <w:rPr>
          <w:rFonts w:hint="eastAsia" w:ascii="微软雅黑" w:hAnsi="微软雅黑" w:eastAsia="微软雅黑" w:cs="微软雅黑"/>
          <w:sz w:val="21"/>
          <w:szCs w:val="21"/>
          <w:highlight w:val="yellow"/>
          <w:lang w:val="fr-BE" w:eastAsia="zh-CN"/>
        </w:rPr>
        <w:t>【</w:t>
      </w:r>
      <w:r>
        <w:rPr>
          <w:rFonts w:hint="eastAsia" w:ascii="微软雅黑" w:hAnsi="微软雅黑" w:eastAsia="微软雅黑" w:cs="微软雅黑"/>
          <w:sz w:val="21"/>
          <w:szCs w:val="21"/>
          <w:highlight w:val="yellow"/>
          <w:lang w:val="en-US" w:eastAsia="zh-CN"/>
        </w:rPr>
        <w:t>2025】</w:t>
      </w:r>
      <w:r>
        <w:rPr>
          <w:rFonts w:hint="eastAsia" w:ascii="微软雅黑" w:hAnsi="微软雅黑" w:eastAsia="微软雅黑" w:cs="微软雅黑"/>
          <w:sz w:val="21"/>
          <w:szCs w:val="21"/>
          <w:highlight w:val="yellow"/>
          <w:lang w:val="fr-BE" w:eastAsia="zh-CN"/>
        </w:rPr>
        <w:t>年【</w:t>
      </w:r>
      <w:r>
        <w:rPr>
          <w:rFonts w:hint="eastAsia" w:ascii="微软雅黑" w:hAnsi="微软雅黑" w:eastAsia="微软雅黑" w:cs="微软雅黑"/>
          <w:sz w:val="21"/>
          <w:szCs w:val="21"/>
          <w:highlight w:val="yellow"/>
          <w:lang w:val="en-US" w:eastAsia="zh-CN"/>
        </w:rPr>
        <w:t>4】</w:t>
      </w:r>
      <w:r>
        <w:rPr>
          <w:rFonts w:hint="eastAsia" w:ascii="微软雅黑" w:hAnsi="微软雅黑" w:eastAsia="微软雅黑" w:cs="微软雅黑"/>
          <w:sz w:val="21"/>
          <w:szCs w:val="21"/>
          <w:highlight w:val="yellow"/>
          <w:lang w:val="fr-BE" w:eastAsia="zh-CN"/>
        </w:rPr>
        <w:t>月</w:t>
      </w:r>
      <w:r>
        <w:rPr>
          <w:rFonts w:hint="eastAsia" w:ascii="微软雅黑" w:hAnsi="微软雅黑" w:eastAsia="微软雅黑" w:cs="微软雅黑"/>
          <w:sz w:val="21"/>
          <w:szCs w:val="21"/>
          <w:highlight w:val="yellow"/>
          <w:lang w:val="en-US" w:eastAsia="zh-CN"/>
        </w:rPr>
        <w:t>【1】</w:t>
      </w:r>
      <w:r>
        <w:rPr>
          <w:rFonts w:hint="eastAsia" w:ascii="微软雅黑" w:hAnsi="微软雅黑" w:eastAsia="微软雅黑" w:cs="微软雅黑"/>
          <w:sz w:val="21"/>
          <w:szCs w:val="21"/>
          <w:highlight w:val="yellow"/>
          <w:lang w:val="fr-BE" w:eastAsia="zh-CN"/>
        </w:rPr>
        <w:t>日</w:t>
      </w:r>
      <w:r>
        <w:rPr>
          <w:rFonts w:hint="eastAsia" w:ascii="微软雅黑" w:hAnsi="微软雅黑" w:eastAsia="微软雅黑" w:cs="微软雅黑"/>
          <w:sz w:val="21"/>
          <w:szCs w:val="21"/>
          <w:lang w:eastAsia="zh-CN"/>
        </w:rPr>
        <w:t>签署了《主服务协议》，根据该协议，公信有权</w:t>
      </w:r>
      <w:r>
        <w:rPr>
          <w:rFonts w:hint="eastAsia" w:ascii="微软雅黑" w:hAnsi="微软雅黑" w:eastAsia="微软雅黑" w:cs="微软雅黑"/>
          <w:sz w:val="21"/>
          <w:szCs w:val="21"/>
          <w:lang w:val="en-US" w:eastAsia="zh-CN"/>
        </w:rPr>
        <w:t>指示</w:t>
      </w:r>
      <w:r>
        <w:rPr>
          <w:rFonts w:hint="eastAsia" w:ascii="微软雅黑" w:hAnsi="微软雅黑" w:eastAsia="微软雅黑" w:cs="微软雅黑"/>
          <w:sz w:val="21"/>
          <w:szCs w:val="21"/>
          <w:lang w:eastAsia="zh-CN"/>
        </w:rPr>
        <w:t>服务提供方以履行服务（“主服务协议”）。</w:t>
      </w:r>
      <w:r>
        <w:rPr>
          <w:rFonts w:hint="eastAsia" w:ascii="微软雅黑" w:hAnsi="微软雅黑" w:eastAsia="微软雅黑" w:cs="微软雅黑"/>
          <w:b/>
          <w:sz w:val="21"/>
          <w:szCs w:val="21"/>
          <w:lang w:eastAsia="zh-CN"/>
        </w:rPr>
        <w:t>鉴于，</w:t>
      </w:r>
      <w:r>
        <w:rPr>
          <w:rFonts w:hint="eastAsia" w:ascii="微软雅黑" w:hAnsi="微软雅黑" w:eastAsia="微软雅黑" w:cs="微软雅黑"/>
          <w:sz w:val="21"/>
          <w:szCs w:val="21"/>
          <w:lang w:eastAsia="zh-CN"/>
        </w:rPr>
        <w:t>公信有意</w:t>
      </w:r>
      <w:r>
        <w:rPr>
          <w:rFonts w:hint="eastAsia" w:ascii="微软雅黑" w:hAnsi="微软雅黑" w:eastAsia="微软雅黑" w:cs="微软雅黑"/>
          <w:sz w:val="21"/>
          <w:szCs w:val="21"/>
          <w:lang w:val="en-US" w:eastAsia="zh-CN"/>
        </w:rPr>
        <w:t>指示</w:t>
      </w:r>
      <w:r>
        <w:rPr>
          <w:rFonts w:hint="eastAsia" w:ascii="微软雅黑" w:hAnsi="微软雅黑" w:eastAsia="微软雅黑" w:cs="微软雅黑"/>
          <w:sz w:val="21"/>
          <w:szCs w:val="21"/>
          <w:lang w:eastAsia="zh-CN"/>
        </w:rPr>
        <w:t>服务提供方履行以下内容的服务，而服务提供方有意根据主服务协议及本协议规定的条款和条件履行上述服务。</w:t>
      </w:r>
    </w:p>
    <w:p w14:paraId="0A6787A7">
      <w:pPr>
        <w:tabs>
          <w:tab w:val="left" w:pos="-720"/>
        </w:tabs>
        <w:suppressAutoHyphens/>
        <w:spacing w:line="360" w:lineRule="auto"/>
        <w:jc w:val="both"/>
        <w:rPr>
          <w:rFonts w:hint="eastAsia" w:ascii="微软雅黑" w:hAnsi="微软雅黑" w:eastAsia="微软雅黑" w:cs="微软雅黑"/>
          <w:b/>
          <w:spacing w:val="-3"/>
          <w:sz w:val="21"/>
          <w:szCs w:val="21"/>
          <w:lang w:eastAsia="zh-CN"/>
        </w:rPr>
      </w:pPr>
    </w:p>
    <w:p w14:paraId="0A6787A8">
      <w:pPr>
        <w:spacing w:line="360" w:lineRule="auto"/>
        <w:jc w:val="both"/>
        <w:rPr>
          <w:rFonts w:hint="eastAsia" w:ascii="微软雅黑" w:hAnsi="微软雅黑" w:eastAsia="微软雅黑" w:cs="微软雅黑"/>
          <w:sz w:val="21"/>
          <w:szCs w:val="21"/>
          <w:u w:val="single"/>
          <w:lang w:eastAsia="zh-CN"/>
        </w:rPr>
      </w:pPr>
      <w:r>
        <w:rPr>
          <w:rFonts w:hint="eastAsia" w:ascii="微软雅黑" w:hAnsi="微软雅黑" w:eastAsia="微软雅黑" w:cs="微软雅黑"/>
          <w:sz w:val="21"/>
          <w:szCs w:val="21"/>
          <w:u w:val="single"/>
          <w:lang w:eastAsia="zh-CN"/>
        </w:rPr>
        <w:t>第1条 – 与主服务协议的关系</w:t>
      </w:r>
    </w:p>
    <w:p w14:paraId="0A6787A9">
      <w:pPr>
        <w:tabs>
          <w:tab w:val="left" w:pos="-1440"/>
          <w:tab w:val="left" w:pos="-720"/>
        </w:tabs>
        <w:suppressAutoHyphen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根据下述规定的影响，双方在履行服务时应始终根据本工作说明书和纳入本工作说明书的主服务协议条款的规定遵守主服务协议的条款和条件。</w:t>
      </w:r>
    </w:p>
    <w:p w14:paraId="0A6787AA">
      <w:pPr>
        <w:tabs>
          <w:tab w:val="left" w:pos="-1440"/>
          <w:tab w:val="left" w:pos="-720"/>
        </w:tabs>
        <w:suppressAutoHyphens/>
        <w:spacing w:line="360" w:lineRule="auto"/>
        <w:jc w:val="both"/>
        <w:rPr>
          <w:rFonts w:hint="eastAsia" w:ascii="微软雅黑" w:hAnsi="微软雅黑" w:eastAsia="微软雅黑" w:cs="微软雅黑"/>
          <w:sz w:val="21"/>
          <w:szCs w:val="21"/>
          <w:highlight w:val="yellow"/>
          <w:lang w:eastAsia="zh-CN"/>
        </w:rPr>
      </w:pPr>
      <w:bookmarkStart w:id="88" w:name="OLE_LINK282"/>
      <w:bookmarkStart w:id="89" w:name="OLE_LINK271"/>
      <w:r>
        <w:rPr>
          <w:rFonts w:hint="eastAsia" w:ascii="微软雅黑" w:hAnsi="微软雅黑" w:eastAsia="微软雅黑" w:cs="微软雅黑"/>
          <w:sz w:val="21"/>
          <w:szCs w:val="21"/>
          <w:highlight w:val="yellow"/>
          <w:lang w:eastAsia="zh-CN"/>
        </w:rPr>
        <w:t>[双方承认本工作说明书的以下条款</w:t>
      </w:r>
      <w:r>
        <w:rPr>
          <w:rFonts w:hint="eastAsia" w:ascii="微软雅黑" w:hAnsi="微软雅黑" w:eastAsia="微软雅黑" w:cs="微软雅黑"/>
          <w:sz w:val="21"/>
          <w:szCs w:val="21"/>
          <w:highlight w:val="yellow"/>
          <w:lang w:val="en-US" w:eastAsia="zh-CN"/>
        </w:rPr>
        <w:t>如</w:t>
      </w:r>
      <w:r>
        <w:rPr>
          <w:rFonts w:hint="eastAsia" w:ascii="微软雅黑" w:hAnsi="微软雅黑" w:eastAsia="微软雅黑" w:cs="微软雅黑"/>
          <w:sz w:val="21"/>
          <w:szCs w:val="21"/>
          <w:highlight w:val="yellow"/>
          <w:lang w:eastAsia="zh-CN"/>
        </w:rPr>
        <w:t>与主服务协议规定的条款相违背，双方同意按照下述规定履行服务：（包括涉及本工作说明书中违反主服务协议的相关事项）] [可选 - 见第2.4条]</w:t>
      </w:r>
    </w:p>
    <w:bookmarkEnd w:id="88"/>
    <w:bookmarkEnd w:id="89"/>
    <w:p w14:paraId="0A6787AB">
      <w:pPr>
        <w:tabs>
          <w:tab w:val="left" w:pos="-1440"/>
          <w:tab w:val="left" w:pos="-720"/>
        </w:tabs>
        <w:suppressAutoHyphen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本协议未规定的条款应与主服务协议中的该等条款具有相同的涵义。</w:t>
      </w:r>
    </w:p>
    <w:p w14:paraId="0A6787AC">
      <w:pPr>
        <w:tabs>
          <w:tab w:val="left" w:pos="-1440"/>
          <w:tab w:val="left" w:pos="-720"/>
        </w:tabs>
        <w:suppressAutoHyphen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w:t>
      </w:r>
    </w:p>
    <w:p w14:paraId="0A6787AD">
      <w:pPr>
        <w:spacing w:line="360" w:lineRule="auto"/>
        <w:jc w:val="both"/>
        <w:rPr>
          <w:rFonts w:hint="eastAsia" w:ascii="微软雅黑" w:hAnsi="微软雅黑" w:eastAsia="微软雅黑" w:cs="微软雅黑"/>
          <w:sz w:val="21"/>
          <w:szCs w:val="21"/>
          <w:u w:val="single"/>
          <w:lang w:eastAsia="zh-CN"/>
        </w:rPr>
      </w:pPr>
      <w:r>
        <w:rPr>
          <w:rFonts w:hint="eastAsia" w:ascii="微软雅黑" w:hAnsi="微软雅黑" w:eastAsia="微软雅黑" w:cs="微软雅黑"/>
          <w:sz w:val="21"/>
          <w:szCs w:val="21"/>
          <w:u w:val="single"/>
          <w:lang w:eastAsia="zh-CN"/>
        </w:rPr>
        <w:t>第2条 – 服务</w:t>
      </w:r>
    </w:p>
    <w:p w14:paraId="0A6787AE">
      <w:pPr>
        <w:spacing w:line="360" w:lineRule="auto"/>
        <w:jc w:val="both"/>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(i) 服务的类型</w:t>
      </w:r>
    </w:p>
    <w:p w14:paraId="0A6787A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a.服务提供方应为公信履行以下服务：</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市场推广创意及医学服务</w:t>
      </w:r>
      <w:r>
        <w:rPr>
          <w:rFonts w:hint="eastAsia" w:ascii="微软雅黑" w:hAnsi="微软雅黑" w:eastAsia="微软雅黑" w:cs="微软雅黑"/>
          <w:sz w:val="21"/>
          <w:szCs w:val="21"/>
          <w:highlight w:val="yellow"/>
          <w:lang w:eastAsia="zh-CN"/>
        </w:rPr>
        <w:t>]</w:t>
      </w:r>
    </w:p>
    <w:p w14:paraId="0A6787B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b.服务提供方开始履行此类服务的条件是其从公信收到关于授权与本工作说明书相关服务的有效采购订单。</w:t>
      </w:r>
    </w:p>
    <w:p w14:paraId="0A6787B1">
      <w:pPr>
        <w:spacing w:line="360" w:lineRule="auto"/>
        <w:jc w:val="both"/>
        <w:rPr>
          <w:rFonts w:hint="eastAsia" w:ascii="微软雅黑" w:hAnsi="微软雅黑" w:eastAsia="微软雅黑" w:cs="微软雅黑"/>
          <w:b/>
          <w:sz w:val="21"/>
          <w:szCs w:val="21"/>
          <w:lang w:eastAsia="zh-CN"/>
        </w:rPr>
      </w:pPr>
      <w:commentRangeStart w:id="2"/>
      <w:r>
        <w:rPr>
          <w:rFonts w:hint="eastAsia" w:ascii="微软雅黑" w:hAnsi="微软雅黑" w:eastAsia="微软雅黑" w:cs="微软雅黑"/>
          <w:sz w:val="21"/>
          <w:szCs w:val="21"/>
          <w:lang w:eastAsia="zh-CN"/>
        </w:rPr>
        <w:t xml:space="preserve">(ii) </w:t>
      </w:r>
      <w:r>
        <w:rPr>
          <w:rFonts w:hint="eastAsia" w:ascii="微软雅黑" w:hAnsi="微软雅黑" w:eastAsia="微软雅黑" w:cs="微软雅黑"/>
          <w:b/>
          <w:sz w:val="21"/>
          <w:szCs w:val="21"/>
          <w:lang w:eastAsia="zh-CN"/>
        </w:rPr>
        <w:t>可交付成果和接受标准</w:t>
      </w:r>
      <w:commentRangeEnd w:id="2"/>
      <w:r>
        <w:rPr>
          <w:rFonts w:hint="eastAsia" w:ascii="微软雅黑" w:hAnsi="微软雅黑" w:eastAsia="微软雅黑" w:cs="微软雅黑"/>
          <w:sz w:val="21"/>
          <w:szCs w:val="21"/>
        </w:rPr>
        <w:commentReference w:id="2"/>
      </w:r>
    </w:p>
    <w:p w14:paraId="0A6787B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a.此类服务应向公信交付以下可交付成果：</w:t>
      </w:r>
      <w:r>
        <w:rPr>
          <w:rFonts w:hint="eastAsia" w:ascii="微软雅黑" w:hAnsi="微软雅黑" w:eastAsia="微软雅黑" w:cs="微软雅黑"/>
          <w:sz w:val="21"/>
          <w:szCs w:val="21"/>
          <w:highlight w:val="yellow"/>
          <w:lang w:eastAsia="zh-CN"/>
        </w:rPr>
        <w:t>[附件3]</w:t>
      </w:r>
    </w:p>
    <w:p w14:paraId="0A6787B3">
      <w:pPr>
        <w:pStyle w:val="3"/>
        <w:spacing w:after="0"/>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lang w:eastAsia="zh-CN"/>
        </w:rPr>
        <w:t>b.公信和服务提供方同意如下接受标准：</w:t>
      </w:r>
      <w:r>
        <w:rPr>
          <w:rFonts w:hint="eastAsia" w:ascii="微软雅黑" w:hAnsi="微软雅黑" w:eastAsia="微软雅黑" w:cs="微软雅黑"/>
          <w:sz w:val="21"/>
          <w:szCs w:val="21"/>
          <w:highlight w:val="yellow"/>
          <w:lang w:eastAsia="zh-CN"/>
        </w:rPr>
        <w:t>[附件3]</w:t>
      </w:r>
    </w:p>
    <w:p w14:paraId="0A6787B4">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 xml:space="preserve">(iii) </w:t>
      </w:r>
      <w:r>
        <w:rPr>
          <w:rFonts w:hint="eastAsia" w:ascii="微软雅黑" w:hAnsi="微软雅黑" w:eastAsia="微软雅黑" w:cs="微软雅黑"/>
          <w:b/>
          <w:sz w:val="21"/>
          <w:szCs w:val="21"/>
          <w:lang w:eastAsia="zh-CN"/>
        </w:rPr>
        <w:t>时间线</w:t>
      </w:r>
    </w:p>
    <w:p w14:paraId="0A6787B5">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a.开始服务的日期：</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2025年4月1日】</w:t>
      </w:r>
    </w:p>
    <w:p w14:paraId="0A6787B6">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b.完成服务的日期：</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2025年12月31日】</w:t>
      </w:r>
    </w:p>
    <w:p w14:paraId="0A6787B7">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 xml:space="preserve">(iv) </w:t>
      </w:r>
      <w:r>
        <w:rPr>
          <w:rFonts w:hint="eastAsia" w:ascii="微软雅黑" w:hAnsi="微软雅黑" w:eastAsia="微软雅黑" w:cs="微软雅黑"/>
          <w:b/>
          <w:sz w:val="21"/>
          <w:szCs w:val="21"/>
          <w:lang w:eastAsia="zh-CN"/>
        </w:rPr>
        <w:t>费用、代付成本、开票及支付条款</w:t>
      </w:r>
    </w:p>
    <w:p w14:paraId="0A6787B8">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eastAsia="zh-CN"/>
        </w:rPr>
        <w:t>a.</w:t>
      </w:r>
      <w:r>
        <w:rPr>
          <w:rFonts w:hint="eastAsia" w:ascii="微软雅黑" w:hAnsi="微软雅黑" w:eastAsia="微软雅黑" w:cs="微软雅黑"/>
          <w:sz w:val="21"/>
          <w:szCs w:val="21"/>
          <w:lang w:eastAsia="zh-CN"/>
        </w:rPr>
        <w:t>服务费用的数额应为：</w:t>
      </w:r>
      <w:r>
        <w:rPr>
          <w:rFonts w:hint="eastAsia" w:ascii="微软雅黑" w:hAnsi="微软雅黑" w:eastAsia="微软雅黑" w:cs="微软雅黑"/>
          <w:sz w:val="21"/>
          <w:szCs w:val="21"/>
          <w:highlight w:val="yellow"/>
          <w:lang w:eastAsia="zh-CN"/>
        </w:rPr>
        <w:t>[附件3]</w:t>
      </w:r>
    </w:p>
    <w:p w14:paraId="0A6787B9">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 公信无义务支付任何额外成本（包括代付成本），除非事先书面明确同意。</w:t>
      </w:r>
    </w:p>
    <w:p w14:paraId="0A6787BA">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 服务提供方不得在按照主服务协议完全且适当地履行此类服务之前对服务开具发票。</w:t>
      </w:r>
    </w:p>
    <w:p w14:paraId="0A6787BB">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d. 发票应按照</w:t>
      </w:r>
      <w:r>
        <w:rPr>
          <w:rFonts w:hint="eastAsia" w:ascii="微软雅黑" w:hAnsi="微软雅黑" w:eastAsia="微软雅黑" w:cs="微软雅黑"/>
          <w:sz w:val="21"/>
          <w:szCs w:val="21"/>
          <w:lang w:val="en-US" w:eastAsia="zh-CN"/>
        </w:rPr>
        <w:t>约定</w:t>
      </w:r>
      <w:r>
        <w:rPr>
          <w:rFonts w:hint="eastAsia" w:ascii="微软雅黑" w:hAnsi="微软雅黑" w:eastAsia="微软雅黑" w:cs="微软雅黑"/>
          <w:sz w:val="21"/>
          <w:szCs w:val="21"/>
          <w:lang w:eastAsia="zh-CN"/>
        </w:rPr>
        <w:t>的电子发票传输方式提交。如果双方同意选择纸张发票，这些发票将发送到相关采购订单中规定的地址。</w:t>
      </w:r>
    </w:p>
    <w:p w14:paraId="0A6787BC">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 公信应按照</w:t>
      </w:r>
      <w:r>
        <w:rPr>
          <w:rFonts w:hint="eastAsia" w:ascii="微软雅黑" w:hAnsi="微软雅黑" w:eastAsia="微软雅黑" w:cs="微软雅黑"/>
          <w:sz w:val="21"/>
          <w:szCs w:val="21"/>
          <w:lang w:val="en-US" w:eastAsia="zh-CN"/>
        </w:rPr>
        <w:t>约</w:t>
      </w:r>
      <w:r>
        <w:rPr>
          <w:rFonts w:hint="eastAsia" w:ascii="微软雅黑" w:hAnsi="微软雅黑" w:eastAsia="微软雅黑" w:cs="微软雅黑"/>
          <w:sz w:val="21"/>
          <w:szCs w:val="21"/>
          <w:lang w:eastAsia="zh-CN"/>
        </w:rPr>
        <w:t>定支付任何无争议的发票。</w:t>
      </w:r>
    </w:p>
    <w:p w14:paraId="0A6787BD">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 xml:space="preserve">(v) </w:t>
      </w:r>
      <w:r>
        <w:rPr>
          <w:rFonts w:hint="eastAsia" w:ascii="微软雅黑" w:hAnsi="微软雅黑" w:eastAsia="微软雅黑" w:cs="微软雅黑"/>
          <w:b/>
          <w:sz w:val="21"/>
          <w:szCs w:val="21"/>
          <w:lang w:eastAsia="zh-CN"/>
        </w:rPr>
        <w:t>项目团队和联系方式:</w:t>
      </w:r>
    </w:p>
    <w:p w14:paraId="0A6787BE">
      <w:pPr>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 公信</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highlight w:val="yellow"/>
        </w:rPr>
        <w:t>[</w:t>
      </w:r>
      <w:r>
        <w:rPr>
          <w:rFonts w:hint="eastAsia" w:ascii="微软雅黑" w:hAnsi="微软雅黑" w:eastAsia="微软雅黑" w:cs="微软雅黑"/>
          <w:sz w:val="21"/>
          <w:szCs w:val="21"/>
          <w:highlight w:val="yellow"/>
          <w:lang w:val="en-US" w:eastAsia="zh-CN"/>
        </w:rPr>
        <w:t>Jessie Ge / jessie.ge@synthasiachina.com</w:t>
      </w:r>
      <w:r>
        <w:rPr>
          <w:rFonts w:hint="eastAsia" w:ascii="微软雅黑" w:hAnsi="微软雅黑" w:eastAsia="微软雅黑" w:cs="微软雅黑"/>
          <w:sz w:val="21"/>
          <w:szCs w:val="21"/>
          <w:highlight w:val="yellow"/>
        </w:rPr>
        <w:t>]</w:t>
      </w:r>
    </w:p>
    <w:p w14:paraId="0A6787BF">
      <w:pPr>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b. </w:t>
      </w:r>
      <w:r>
        <w:rPr>
          <w:rFonts w:hint="eastAsia" w:ascii="微软雅黑" w:hAnsi="微软雅黑" w:eastAsia="微软雅黑" w:cs="微软雅黑"/>
          <w:sz w:val="21"/>
          <w:szCs w:val="21"/>
        </w:rPr>
        <w:t>服务提供方：</w:t>
      </w:r>
      <w:r>
        <w:rPr>
          <w:rFonts w:hint="eastAsia" w:ascii="微软雅黑" w:hAnsi="微软雅黑" w:eastAsia="微软雅黑" w:cs="微软雅黑"/>
          <w:sz w:val="21"/>
          <w:szCs w:val="21"/>
          <w:highlight w:val="yellow"/>
        </w:rPr>
        <w:t>[</w:t>
      </w:r>
      <w:r>
        <w:rPr>
          <w:rFonts w:hint="eastAsia" w:ascii="微软雅黑" w:hAnsi="微软雅黑" w:eastAsia="微软雅黑" w:cs="微软雅黑"/>
          <w:sz w:val="21"/>
          <w:szCs w:val="21"/>
          <w:highlight w:val="yellow"/>
          <w:lang w:val="en-US" w:eastAsia="zh-CN"/>
        </w:rPr>
        <w:t>Andy Lin / andy.lin@ubs-cn.com</w:t>
      </w:r>
      <w:r>
        <w:rPr>
          <w:rFonts w:hint="eastAsia" w:ascii="微软雅黑" w:hAnsi="微软雅黑" w:eastAsia="微软雅黑" w:cs="微软雅黑"/>
          <w:sz w:val="21"/>
          <w:szCs w:val="21"/>
          <w:highlight w:val="yellow"/>
        </w:rPr>
        <w:t>]</w:t>
      </w:r>
    </w:p>
    <w:p w14:paraId="0A6787C0">
      <w:pPr>
        <w:spacing w:line="360" w:lineRule="auto"/>
        <w:jc w:val="both"/>
        <w:rPr>
          <w:rFonts w:hint="eastAsia" w:ascii="微软雅黑" w:hAnsi="微软雅黑" w:eastAsia="微软雅黑" w:cs="微软雅黑"/>
          <w:sz w:val="21"/>
          <w:szCs w:val="21"/>
        </w:rPr>
      </w:pPr>
    </w:p>
    <w:p w14:paraId="0A6787C1">
      <w:pPr>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本协议一式两份，每一方已收到其副本。</w:t>
      </w:r>
    </w:p>
    <w:p w14:paraId="0A6787C2">
      <w:pPr>
        <w:spacing w:line="36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(以下无正文)</w:t>
      </w:r>
    </w:p>
    <w:p w14:paraId="0A6787C3">
      <w:pPr>
        <w:spacing w:line="36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（盖章页）</w:t>
      </w:r>
    </w:p>
    <w:p w14:paraId="0A6787C4">
      <w:pPr>
        <w:pStyle w:val="33"/>
        <w:tabs>
          <w:tab w:val="left" w:pos="5103"/>
        </w:tabs>
        <w:spacing w:after="0"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sz w:val="21"/>
          <w:szCs w:val="21"/>
          <w:lang w:val="en-US" w:eastAsia="zh-CN"/>
        </w:rPr>
        <w:tab/>
      </w:r>
      <w:r>
        <w:rPr>
          <w:rFonts w:hint="eastAsia" w:ascii="微软雅黑" w:hAnsi="微软雅黑" w:eastAsia="微软雅黑" w:cs="微软雅黑"/>
          <w:b/>
          <w:bCs/>
          <w:sz w:val="21"/>
          <w:szCs w:val="21"/>
          <w:lang w:val="en-US" w:eastAsia="zh-CN"/>
        </w:rPr>
        <w:t>公信贸易(上海)有限公司</w:t>
      </w:r>
    </w:p>
    <w:p w14:paraId="0A6787C5">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姓名：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姓名：</w:t>
      </w:r>
    </w:p>
    <w:p w14:paraId="0A6787C6">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职位：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职位：</w:t>
      </w:r>
      <w:r>
        <w:rPr>
          <w:rFonts w:hint="eastAsia" w:ascii="微软雅黑" w:hAnsi="微软雅黑" w:eastAsia="微软雅黑" w:cs="微软雅黑"/>
          <w:sz w:val="21"/>
          <w:szCs w:val="21"/>
          <w:lang w:eastAsia="zh-CN"/>
        </w:rPr>
        <w:tab/>
      </w:r>
    </w:p>
    <w:p w14:paraId="0A6787C7">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日期：</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日期：</w:t>
      </w:r>
    </w:p>
    <w:p w14:paraId="0A6787C8">
      <w:pPr>
        <w:spacing w:line="360" w:lineRule="auto"/>
        <w:rPr>
          <w:rFonts w:hint="eastAsia" w:ascii="微软雅黑" w:hAnsi="微软雅黑" w:eastAsia="微软雅黑" w:cs="微软雅黑"/>
          <w:sz w:val="21"/>
          <w:szCs w:val="21"/>
          <w:lang w:eastAsia="zh-CN"/>
        </w:rPr>
      </w:pPr>
    </w:p>
    <w:p w14:paraId="0A6787C9">
      <w:pPr>
        <w:spacing w:line="360" w:lineRule="auto"/>
        <w:rPr>
          <w:rFonts w:hint="eastAsia" w:ascii="微软雅黑" w:hAnsi="微软雅黑" w:eastAsia="微软雅黑" w:cs="微软雅黑"/>
          <w:b/>
          <w:bCs/>
          <w:sz w:val="21"/>
          <w:szCs w:val="21"/>
          <w:lang w:eastAsia="zh-CN"/>
        </w:rPr>
      </w:pPr>
    </w:p>
    <w:p w14:paraId="0A6787CA">
      <w:pPr>
        <w:spacing w:line="360" w:lineRule="auto"/>
        <w:rPr>
          <w:rFonts w:hint="eastAsia" w:ascii="微软雅黑" w:hAnsi="微软雅黑" w:eastAsia="微软雅黑" w:cs="微软雅黑"/>
          <w:b/>
          <w:bCs/>
          <w:sz w:val="21"/>
          <w:szCs w:val="21"/>
          <w:lang w:eastAsia="zh-CN"/>
        </w:rPr>
      </w:pPr>
    </w:p>
    <w:p w14:paraId="0A6787CB">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br w:type="page"/>
      </w:r>
    </w:p>
    <w:p w14:paraId="0A6787CC">
      <w:pPr>
        <w:pStyle w:val="3"/>
        <w:numPr>
          <w:ilvl w:val="1"/>
          <w:numId w:val="0"/>
        </w:numPr>
        <w:spacing w:after="0"/>
        <w:jc w:val="center"/>
        <w:rPr>
          <w:rFonts w:hint="eastAsia" w:ascii="微软雅黑" w:hAnsi="微软雅黑" w:eastAsia="微软雅黑" w:cs="微软雅黑"/>
          <w:sz w:val="21"/>
          <w:szCs w:val="21"/>
          <w:lang w:eastAsia="zh-CN"/>
        </w:rPr>
      </w:pPr>
      <w:r>
        <w:rPr>
          <w:rStyle w:val="92"/>
          <w:rFonts w:hint="eastAsia" w:ascii="微软雅黑" w:hAnsi="微软雅黑" w:eastAsia="微软雅黑" w:cs="微软雅黑"/>
          <w:bCs/>
          <w:sz w:val="21"/>
          <w:szCs w:val="21"/>
          <w:lang w:eastAsia="zh-CN"/>
        </w:rPr>
        <w:t>附件</w:t>
      </w:r>
      <w:r>
        <w:rPr>
          <w:rStyle w:val="92"/>
          <w:rFonts w:hint="eastAsia" w:ascii="微软雅黑" w:hAnsi="微软雅黑" w:eastAsia="微软雅黑" w:cs="微软雅黑"/>
          <w:bCs/>
          <w:sz w:val="21"/>
          <w:szCs w:val="21"/>
          <w:lang w:val="en-US" w:eastAsia="zh-CN"/>
        </w:rPr>
        <w:t>2</w:t>
      </w:r>
      <w:r>
        <w:rPr>
          <w:rStyle w:val="92"/>
          <w:rFonts w:hint="eastAsia" w:ascii="微软雅黑" w:hAnsi="微软雅黑" w:eastAsia="微软雅黑" w:cs="微软雅黑"/>
          <w:bCs/>
          <w:sz w:val="21"/>
          <w:szCs w:val="21"/>
          <w:lang w:eastAsia="zh-CN"/>
        </w:rPr>
        <w:t>:</w:t>
      </w:r>
      <w:r>
        <w:rPr>
          <w:rStyle w:val="92"/>
          <w:rFonts w:hint="eastAsia" w:ascii="微软雅黑" w:hAnsi="微软雅黑" w:eastAsia="微软雅黑" w:cs="微软雅黑"/>
          <w:bCs/>
          <w:sz w:val="21"/>
          <w:szCs w:val="21"/>
          <w:lang w:val="en-US" w:eastAsia="zh-CN"/>
        </w:rPr>
        <w:t>反腐败及反商业贿赂承诺书</w:t>
      </w:r>
    </w:p>
    <w:p w14:paraId="0A6787CD">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pacing w:val="16"/>
          <w:sz w:val="21"/>
          <w:szCs w:val="21"/>
          <w:lang w:eastAsia="zh-CN"/>
        </w:rPr>
      </w:pPr>
      <w:r>
        <w:rPr>
          <w:rFonts w:hint="eastAsia" w:ascii="微软雅黑" w:hAnsi="微软雅黑" w:eastAsia="微软雅黑" w:cs="微软雅黑"/>
          <w:spacing w:val="14"/>
          <w:sz w:val="21"/>
          <w:szCs w:val="21"/>
          <w:lang w:eastAsia="zh-CN"/>
        </w:rPr>
        <w:t>为</w:t>
      </w:r>
      <w:r>
        <w:rPr>
          <w:rFonts w:hint="eastAsia" w:ascii="微软雅黑" w:hAnsi="微软雅黑" w:eastAsia="微软雅黑" w:cs="微软雅黑"/>
          <w:color w:val="000000"/>
          <w:sz w:val="21"/>
          <w:szCs w:val="21"/>
          <w:lang w:eastAsia="zh-CN"/>
        </w:rPr>
        <w:t>严格遵守《反不正当竞争法》</w:t>
      </w:r>
      <w:r>
        <w:rPr>
          <w:rFonts w:hint="eastAsia" w:ascii="微软雅黑" w:hAnsi="微软雅黑" w:eastAsia="微软雅黑" w:cs="微软雅黑"/>
          <w:spacing w:val="9"/>
          <w:sz w:val="21"/>
          <w:szCs w:val="21"/>
          <w:lang w:eastAsia="zh-CN"/>
        </w:rPr>
        <w:t>《关于禁止商业贿赂行为的暂行规定》</w:t>
      </w:r>
      <w:r>
        <w:rPr>
          <w:rFonts w:hint="eastAsia" w:ascii="微软雅黑" w:hAnsi="微软雅黑" w:eastAsia="微软雅黑" w:cs="微软雅黑"/>
          <w:color w:val="000000"/>
          <w:sz w:val="21"/>
          <w:szCs w:val="21"/>
          <w:lang w:eastAsia="zh-CN"/>
        </w:rPr>
        <w:t>及其他相关法律法规有关禁止商业贿赂行为的规定</w:t>
      </w:r>
      <w:r>
        <w:rPr>
          <w:rFonts w:hint="eastAsia" w:ascii="微软雅黑" w:hAnsi="微软雅黑" w:eastAsia="微软雅黑" w:cs="微软雅黑"/>
          <w:spacing w:val="21"/>
          <w:sz w:val="21"/>
          <w:szCs w:val="21"/>
          <w:lang w:eastAsia="zh-CN"/>
        </w:rPr>
        <w:t>，确保双方公平、公正、公开</w:t>
      </w:r>
      <w:r>
        <w:rPr>
          <w:rFonts w:hint="eastAsia" w:ascii="微软雅黑" w:hAnsi="微软雅黑" w:eastAsia="微软雅黑" w:cs="微软雅黑"/>
          <w:spacing w:val="19"/>
          <w:sz w:val="21"/>
          <w:szCs w:val="21"/>
          <w:lang w:eastAsia="zh-CN"/>
        </w:rPr>
        <w:t>地开展业务，</w:t>
      </w:r>
      <w:r>
        <w:rPr>
          <w:rFonts w:hint="eastAsia" w:ascii="微软雅黑" w:hAnsi="微软雅黑" w:eastAsia="微软雅黑" w:cs="微软雅黑"/>
          <w:spacing w:val="15"/>
          <w:sz w:val="21"/>
          <w:szCs w:val="21"/>
          <w:lang w:eastAsia="zh-CN"/>
        </w:rPr>
        <w:t>保障双方合作关系健康发展，营造诚信守法、廉洁自律的</w:t>
      </w:r>
      <w:r>
        <w:rPr>
          <w:rFonts w:hint="eastAsia" w:ascii="微软雅黑" w:hAnsi="微软雅黑" w:eastAsia="微软雅黑" w:cs="微软雅黑"/>
          <w:spacing w:val="16"/>
          <w:sz w:val="21"/>
          <w:szCs w:val="21"/>
          <w:lang w:eastAsia="zh-CN"/>
        </w:rPr>
        <w:t>合作环境，</w:t>
      </w:r>
      <w:r>
        <w:rPr>
          <w:rFonts w:hint="eastAsia" w:ascii="微软雅黑" w:hAnsi="微软雅黑" w:eastAsia="微软雅黑" w:cs="微软雅黑"/>
          <w:spacing w:val="16"/>
          <w:sz w:val="21"/>
          <w:szCs w:val="21"/>
          <w:highlight w:val="yellow"/>
          <w:lang w:eastAsia="zh-CN"/>
        </w:rPr>
        <w:t>【</w:t>
      </w: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spacing w:val="16"/>
          <w:sz w:val="21"/>
          <w:szCs w:val="21"/>
          <w:highlight w:val="yellow"/>
          <w:lang w:eastAsia="zh-CN"/>
        </w:rPr>
        <w:t>】</w:t>
      </w:r>
      <w:r>
        <w:rPr>
          <w:rFonts w:hint="eastAsia" w:ascii="微软雅黑" w:hAnsi="微软雅黑" w:eastAsia="微软雅黑" w:cs="微软雅黑"/>
          <w:spacing w:val="16"/>
          <w:sz w:val="21"/>
          <w:szCs w:val="21"/>
          <w:lang w:eastAsia="zh-CN"/>
        </w:rPr>
        <w:t>（以下简称“乙方”）向</w:t>
      </w:r>
      <w:r>
        <w:rPr>
          <w:rFonts w:hint="eastAsia" w:ascii="微软雅黑" w:hAnsi="微软雅黑" w:eastAsia="微软雅黑" w:cs="微软雅黑"/>
          <w:spacing w:val="16"/>
          <w:sz w:val="21"/>
          <w:szCs w:val="21"/>
          <w:highlight w:val="yellow"/>
          <w:lang w:eastAsia="zh-CN"/>
        </w:rPr>
        <w:t>【公信贸易(上海)有限公司】</w:t>
      </w:r>
      <w:r>
        <w:rPr>
          <w:rFonts w:hint="eastAsia" w:ascii="微软雅黑" w:hAnsi="微软雅黑" w:eastAsia="微软雅黑" w:cs="微软雅黑"/>
          <w:spacing w:val="16"/>
          <w:sz w:val="21"/>
          <w:szCs w:val="21"/>
          <w:lang w:eastAsia="zh-CN"/>
        </w:rPr>
        <w:t>及其关联公司（以下简称“甲方”）承诺如下：</w:t>
      </w:r>
    </w:p>
    <w:p w14:paraId="0A6787CE">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一、严格遵守国家的法律、法规，自觉履行双方订立的合同；</w:t>
      </w:r>
    </w:p>
    <w:p w14:paraId="0A6787CF">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二、不向甲方员工赠送贵重礼品、礼金、有价证券或给予不正当利益、报酬、服务等不正当利益；</w:t>
      </w:r>
    </w:p>
    <w:p w14:paraId="0A6787D0">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 xml:space="preserve">三、不与甲方员工私下商谈或达成“互惠互利”的默契； </w:t>
      </w:r>
    </w:p>
    <w:p w14:paraId="0A6787D1">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四、不以谈业务、签合同为借口，邀请甲方员工参与高消费娱乐、高消费宴请、公款旅游等活动；</w:t>
      </w:r>
    </w:p>
    <w:p w14:paraId="0A6787D2">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五、不通过利益输送、提供便利等方式向甲方员工套取甲方相关商业秘密、内幕信息、业务渠道等；</w:t>
      </w:r>
    </w:p>
    <w:p w14:paraId="0A6787D3">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六、不向甲方员工及其配偶、子女和其他亲友变相给付利益；</w:t>
      </w:r>
    </w:p>
    <w:p w14:paraId="0A6787D4">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七、不以损害甲方利益的手段为乙方谋取私利；</w:t>
      </w:r>
    </w:p>
    <w:p w14:paraId="0A6787D5">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八、不以任何形式向甲方工作人员许诺事后给予的不正当利益或所得等；</w:t>
      </w:r>
    </w:p>
    <w:p w14:paraId="0A6787D6">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九、就双方合作事项签署的协议的履行，没有且承诺不会直接或间接地做出、许诺、授权、批准或提议做出，或采取任何行动，促成任何付款或转移任何有价物，用以影响、诱导或奖励保护某种不正当利益的任何作为、不作为或决定，或者，以不适当的方式协助其或甲方获取或维持业务或为了不正当竞争或商业贿赂的目的在任何方面提供协助，并承诺已经采取合理措施，防止管理人员、员工或任何其它第三方（受制于其控制力或决定性影响）做出上述行为。为免生疑问，该等行为包括但不限于疏通费，即向政府官员提供或安排非正规的、不适当的小额款项或礼物，以便争取到或加快完成某种例行的或必要的并且我们拥有合法权利的行动。为本协议之目的，“政府官员”（其中，‘政府’指的是政府的所有层级及细分机构，即：地方的、区域的、国家的、管理的、立法的、行政的或司法的以及皇家的或有统治权的家族）指的是：((a) 政府或政府的任何部门、代理、机构（包括国家拥有或控制的公共企业或实体）的任何官员或职员；(b) 公共国际组织（如世界银行或联合国）的任何官员或职员；(c) 政党的官员或职员，或者任何公职候选人；(d) 上述任何一款没有包含但根据适用法律（包括反贿赂反腐败法）被定义为政府官员或公职人员的任何人；和/或(e) 为了或代表上述任何人员行使公职权力的任何人。“政府官员”应包括亲密家庭成员为政府官员（定义如上）且有能力（实际的或被人认为的）影响甲方业务或做出影响甲方业务的正式决定的任何人；</w:t>
      </w:r>
    </w:p>
    <w:p w14:paraId="0A6787D7">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不进行国家、监管机构或甲方上级单位规定的其他不正当行为；</w:t>
      </w:r>
    </w:p>
    <w:p w14:paraId="0A6787D8">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与甲方不存在利益冲突，包括但不限于（1）乙方不得向甲方员工及其利害相关人提供任何形式的借款；（2）乙方的股东、监事、经理、高级管理人员、合作项目负责人及项目成员系甲方员工或其利害相关人员的，应在合作前以书面方式如实、全面告知甲方。（3）双方合作过程中，乙方不得允许甲方员工及其配偶持有或由第三方代持有乙方股权（但通过公开的证券交易市场且低于发行在外5%的权益、通过直接或间接持有无实际控制权的基金、或通过受益人非本人或利益代言人的信托方式持有的股份除外），亦不得聘用甲方员工（包括但不限于建立正式劳动关系、劳务派遣、外包服务、兼职、咨询顾问等其他形式）。（4）乙方不得雇佣甲方辞退的人员或自甲方主动离职不到1年的人员对接甲方业务；</w:t>
      </w:r>
    </w:p>
    <w:p w14:paraId="0A6787D9">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val="zh-CN" w:eastAsia="zh-CN"/>
        </w:rPr>
        <w:t>如果乙方未能根据本条履行其义务，甲方有权通过书面通知乙方后立即终止本协议。对于因根据本</w:t>
      </w:r>
      <w:r>
        <w:rPr>
          <w:rFonts w:hint="eastAsia" w:ascii="微软雅黑" w:hAnsi="微软雅黑" w:eastAsia="微软雅黑" w:cs="微软雅黑"/>
          <w:snapToGrid w:val="0"/>
          <w:color w:val="000000"/>
          <w:sz w:val="21"/>
          <w:szCs w:val="21"/>
          <w:lang w:eastAsia="zh-CN"/>
        </w:rPr>
        <w:t>承诺书</w:t>
      </w:r>
      <w:r>
        <w:rPr>
          <w:rFonts w:hint="eastAsia" w:ascii="微软雅黑" w:hAnsi="微软雅黑" w:eastAsia="微软雅黑" w:cs="微软雅黑"/>
          <w:snapToGrid w:val="0"/>
          <w:color w:val="000000"/>
          <w:sz w:val="21"/>
          <w:szCs w:val="21"/>
          <w:lang w:val="zh-CN" w:eastAsia="zh-CN"/>
        </w:rPr>
        <w:t>终止</w:t>
      </w:r>
      <w:r>
        <w:rPr>
          <w:rFonts w:hint="eastAsia" w:ascii="微软雅黑" w:hAnsi="微软雅黑" w:eastAsia="微软雅黑" w:cs="微软雅黑"/>
          <w:snapToGrid w:val="0"/>
          <w:color w:val="000000"/>
          <w:sz w:val="21"/>
          <w:szCs w:val="21"/>
          <w:lang w:eastAsia="zh-CN"/>
        </w:rPr>
        <w:t>业务合作相关协议</w:t>
      </w:r>
      <w:r>
        <w:rPr>
          <w:rFonts w:hint="eastAsia" w:ascii="微软雅黑" w:hAnsi="微软雅黑" w:eastAsia="微软雅黑" w:cs="微软雅黑"/>
          <w:snapToGrid w:val="0"/>
          <w:color w:val="000000"/>
          <w:sz w:val="21"/>
          <w:szCs w:val="21"/>
          <w:lang w:val="zh-CN" w:eastAsia="zh-CN"/>
        </w:rPr>
        <w:t>造成的任何性质的损失，不得向甲方提出索赔。</w:t>
      </w:r>
    </w:p>
    <w:p w14:paraId="0A6787DA">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本承诺书作为甲方与乙方业务合作相关协议的附件，具有同等法律效力，自乙方盖章之日起生效。</w:t>
      </w:r>
    </w:p>
    <w:p w14:paraId="0A6787DB">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甲乙双方业务合作相关协议履行完毕后，发生或发现违反本承诺书规定的行为，仍按本承诺书规定处理。</w:t>
      </w:r>
    </w:p>
    <w:p w14:paraId="0A6787DC">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p>
    <w:p w14:paraId="0A6787DD">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乙方（盖章）：</w:t>
      </w:r>
    </w:p>
    <w:p w14:paraId="0A6787DE">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日期：</w:t>
      </w:r>
    </w:p>
    <w:p w14:paraId="0A6787DF">
      <w:pPr>
        <w:tabs>
          <w:tab w:val="left" w:pos="5103"/>
        </w:tabs>
        <w:spacing w:line="360" w:lineRule="auto"/>
        <w:jc w:val="both"/>
        <w:rPr>
          <w:rFonts w:hint="eastAsia" w:ascii="微软雅黑" w:hAnsi="微软雅黑" w:eastAsia="微软雅黑" w:cs="微软雅黑"/>
          <w:sz w:val="21"/>
          <w:szCs w:val="21"/>
          <w:lang w:eastAsia="zh-CN"/>
        </w:rPr>
      </w:pPr>
    </w:p>
    <w:p w14:paraId="0A6787E0">
      <w:pPr>
        <w:tabs>
          <w:tab w:val="left" w:pos="5103"/>
        </w:tabs>
        <w:spacing w:line="360" w:lineRule="auto"/>
        <w:jc w:val="both"/>
        <w:rPr>
          <w:rFonts w:hint="eastAsia" w:ascii="微软雅黑" w:hAnsi="微软雅黑" w:eastAsia="微软雅黑" w:cs="微软雅黑"/>
          <w:sz w:val="21"/>
          <w:szCs w:val="21"/>
          <w:lang w:eastAsia="zh-CN"/>
        </w:rPr>
      </w:pPr>
    </w:p>
    <w:p w14:paraId="0A6787E1">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br w:type="page"/>
      </w:r>
    </w:p>
    <w:p w14:paraId="0A6787E2">
      <w:pPr>
        <w:pStyle w:val="3"/>
        <w:numPr>
          <w:ilvl w:val="1"/>
          <w:numId w:val="0"/>
        </w:numPr>
        <w:spacing w:after="0"/>
        <w:jc w:val="center"/>
        <w:rPr>
          <w:rStyle w:val="92"/>
          <w:rFonts w:hint="eastAsia" w:ascii="微软雅黑" w:hAnsi="微软雅黑" w:eastAsia="微软雅黑" w:cs="微软雅黑"/>
          <w:bCs/>
          <w:sz w:val="21"/>
          <w:szCs w:val="21"/>
          <w:lang w:val="en-US" w:eastAsia="zh-CN"/>
        </w:rPr>
      </w:pPr>
      <w:r>
        <w:rPr>
          <w:rStyle w:val="92"/>
          <w:rFonts w:hint="eastAsia" w:ascii="微软雅黑" w:hAnsi="微软雅黑" w:eastAsia="微软雅黑" w:cs="微软雅黑"/>
          <w:bCs/>
          <w:sz w:val="21"/>
          <w:szCs w:val="21"/>
          <w:lang w:eastAsia="zh-CN"/>
        </w:rPr>
        <w:t>附件</w:t>
      </w:r>
      <w:r>
        <w:rPr>
          <w:rStyle w:val="92"/>
          <w:rFonts w:hint="eastAsia" w:ascii="微软雅黑" w:hAnsi="微软雅黑" w:eastAsia="微软雅黑" w:cs="微软雅黑"/>
          <w:bCs/>
          <w:sz w:val="21"/>
          <w:szCs w:val="21"/>
          <w:lang w:val="en-US" w:eastAsia="zh-CN"/>
        </w:rPr>
        <w:t>3</w:t>
      </w:r>
      <w:r>
        <w:rPr>
          <w:rStyle w:val="92"/>
          <w:rFonts w:hint="eastAsia" w:ascii="微软雅黑" w:hAnsi="微软雅黑" w:eastAsia="微软雅黑" w:cs="微软雅黑"/>
          <w:bCs/>
          <w:sz w:val="21"/>
          <w:szCs w:val="21"/>
          <w:lang w:eastAsia="zh-CN"/>
        </w:rPr>
        <w:t>:服务标准和</w:t>
      </w:r>
      <w:r>
        <w:rPr>
          <w:rStyle w:val="92"/>
          <w:rFonts w:hint="eastAsia" w:ascii="微软雅黑" w:hAnsi="微软雅黑" w:eastAsia="微软雅黑" w:cs="微软雅黑"/>
          <w:bCs/>
          <w:sz w:val="21"/>
          <w:szCs w:val="21"/>
          <w:lang w:val="en-US" w:eastAsia="zh-CN"/>
        </w:rPr>
        <w:t>报价清单</w:t>
      </w:r>
    </w:p>
    <w:p w14:paraId="0A6787E3">
      <w:pPr>
        <w:spacing w:line="360" w:lineRule="auto"/>
        <w:jc w:val="center"/>
        <w:rPr>
          <w:rFonts w:hint="eastAsia" w:ascii="微软雅黑" w:hAnsi="微软雅黑" w:eastAsia="微软雅黑" w:cs="微软雅黑"/>
          <w:sz w:val="21"/>
          <w:szCs w:val="21"/>
          <w:lang w:val="en-US" w:eastAsia="zh-CN"/>
        </w:rPr>
      </w:pPr>
      <w:r>
        <w:rPr>
          <w:rFonts w:hint="eastAsia"/>
        </w:rPr>
        <w:drawing>
          <wp:inline distT="0" distB="0" distL="0" distR="0">
            <wp:extent cx="5943600" cy="6750050"/>
            <wp:effectExtent l="0" t="0" r="0" b="0"/>
            <wp:docPr id="5503290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2908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750050"/>
                    </a:xfrm>
                    <a:prstGeom prst="rect">
                      <a:avLst/>
                    </a:prstGeom>
                    <a:noFill/>
                    <a:ln>
                      <a:noFill/>
                    </a:ln>
                  </pic:spPr>
                </pic:pic>
              </a:graphicData>
            </a:graphic>
          </wp:inline>
        </w:drawing>
      </w:r>
    </w:p>
    <w:p w14:paraId="64628DB3">
      <w:pPr>
        <w:spacing w:line="360" w:lineRule="auto"/>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*以上价格不含增值税，开具增值税专用发票，税点6%。</w:t>
      </w:r>
    </w:p>
    <w:p w14:paraId="11E61E40">
      <w:pPr>
        <w:spacing w:line="360" w:lineRule="auto"/>
        <w:rPr>
          <w:rFonts w:ascii="微软雅黑" w:hAnsi="微软雅黑" w:eastAsia="微软雅黑" w:cs="微软雅黑"/>
          <w:sz w:val="21"/>
          <w:szCs w:val="21"/>
          <w:lang w:eastAsia="zh-CN"/>
        </w:rPr>
      </w:pPr>
    </w:p>
    <w:p w14:paraId="158CBBAF">
      <w:pPr>
        <w:spacing w:line="360" w:lineRule="auto"/>
        <w:rPr>
          <w:rFonts w:hint="eastAsia" w:ascii="微软雅黑" w:hAnsi="微软雅黑" w:eastAsia="微软雅黑" w:cs="微软雅黑"/>
          <w:sz w:val="21"/>
          <w:szCs w:val="21"/>
          <w:lang w:eastAsia="zh-CN"/>
        </w:rPr>
      </w:pPr>
    </w:p>
    <w:p w14:paraId="0A6787E4">
      <w:pPr>
        <w:pStyle w:val="3"/>
        <w:numPr>
          <w:ilvl w:val="1"/>
          <w:numId w:val="0"/>
        </w:numPr>
        <w:spacing w:after="0"/>
        <w:jc w:val="center"/>
        <w:rPr>
          <w:rStyle w:val="92"/>
          <w:rFonts w:hint="eastAsia" w:ascii="微软雅黑" w:hAnsi="微软雅黑" w:eastAsia="微软雅黑" w:cs="微软雅黑"/>
          <w:bCs/>
          <w:sz w:val="21"/>
          <w:szCs w:val="21"/>
          <w:lang w:eastAsia="zh-CN"/>
        </w:rPr>
      </w:pPr>
      <w:r>
        <w:rPr>
          <w:rStyle w:val="92"/>
          <w:rFonts w:hint="eastAsia" w:ascii="微软雅黑" w:hAnsi="微软雅黑" w:eastAsia="微软雅黑" w:cs="微软雅黑"/>
          <w:bCs/>
          <w:sz w:val="21"/>
          <w:szCs w:val="21"/>
          <w:lang w:val="en-US" w:eastAsia="zh-CN"/>
        </w:rPr>
        <w:tab/>
      </w:r>
      <w:commentRangeStart w:id="3"/>
      <w:r>
        <w:rPr>
          <w:rStyle w:val="92"/>
          <w:rFonts w:hint="eastAsia" w:ascii="微软雅黑" w:hAnsi="微软雅黑" w:eastAsia="微软雅黑" w:cs="微软雅黑"/>
          <w:bCs/>
          <w:sz w:val="21"/>
          <w:szCs w:val="21"/>
          <w:lang w:eastAsia="zh-CN"/>
        </w:rPr>
        <w:t>附件</w:t>
      </w:r>
      <w:r>
        <w:rPr>
          <w:rStyle w:val="92"/>
          <w:rFonts w:hint="eastAsia" w:ascii="微软雅黑" w:hAnsi="微软雅黑" w:eastAsia="微软雅黑" w:cs="微软雅黑"/>
          <w:bCs/>
          <w:sz w:val="21"/>
          <w:szCs w:val="21"/>
          <w:lang w:val="en-US" w:eastAsia="zh-CN"/>
        </w:rPr>
        <w:t>4：</w:t>
      </w:r>
      <w:r>
        <w:rPr>
          <w:rStyle w:val="92"/>
          <w:rFonts w:hint="eastAsia" w:ascii="微软雅黑" w:hAnsi="微软雅黑" w:eastAsia="微软雅黑" w:cs="微软雅黑"/>
          <w:bCs/>
          <w:sz w:val="21"/>
          <w:szCs w:val="21"/>
          <w:lang w:eastAsia="zh-CN"/>
        </w:rPr>
        <w:t>甲方支付主体及开票信息</w:t>
      </w:r>
      <w:commentRangeEnd w:id="3"/>
      <w:r>
        <w:rPr>
          <w:rFonts w:hint="eastAsia" w:ascii="微软雅黑" w:hAnsi="微软雅黑" w:eastAsia="微软雅黑" w:cs="微软雅黑"/>
          <w:sz w:val="21"/>
          <w:szCs w:val="21"/>
        </w:rPr>
        <w:commentReference w:id="3"/>
      </w:r>
    </w:p>
    <w:p w14:paraId="0A6787E5">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1、公信贸易（上海）有限公司 开票信息：</w:t>
      </w:r>
    </w:p>
    <w:p w14:paraId="0A6787E6">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bidi="ar"/>
        </w:rPr>
        <w:t>纳税人识别号：</w:t>
      </w:r>
      <w:r>
        <w:rPr>
          <w:rFonts w:ascii="微软雅黑 Light" w:hAnsi="微软雅黑 Light" w:eastAsia="微软雅黑 Light" w:cs="微软雅黑"/>
          <w:sz w:val="21"/>
          <w:szCs w:val="21"/>
          <w:lang w:val="en-US" w:eastAsia="zh-CN" w:bidi="ar"/>
        </w:rPr>
        <w:t>9131000057913199X2</w:t>
      </w:r>
    </w:p>
    <w:p w14:paraId="0A6787E8">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bidi="ar"/>
        </w:rPr>
        <w:t>地址、电话：上海市虹口区吴淞路218号30楼01A单元 021-61431919</w:t>
      </w:r>
    </w:p>
    <w:p w14:paraId="0A6787E9">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bidi="ar"/>
        </w:rPr>
        <w:t>开户银行及账号：招商银行上海北外滩支行121909796110101</w:t>
      </w:r>
    </w:p>
    <w:p w14:paraId="0A6787EB">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2、</w:t>
      </w:r>
      <w:r>
        <w:rPr>
          <w:rFonts w:hint="eastAsia" w:ascii="微软雅黑 Light" w:hAnsi="微软雅黑 Light" w:eastAsia="微软雅黑 Light" w:cs="微软雅黑"/>
          <w:sz w:val="21"/>
          <w:szCs w:val="21"/>
          <w:lang w:eastAsia="zh-CN"/>
        </w:rPr>
        <w:t xml:space="preserve">公信贸易（上海）有限公司北京分公司 </w:t>
      </w:r>
      <w:r>
        <w:rPr>
          <w:rFonts w:hint="eastAsia" w:ascii="微软雅黑 Light" w:hAnsi="微软雅黑 Light" w:eastAsia="微软雅黑 Light" w:cs="微软雅黑"/>
          <w:sz w:val="21"/>
          <w:szCs w:val="21"/>
          <w:lang w:val="en-US" w:eastAsia="zh-CN"/>
        </w:rPr>
        <w:t>开票信息:</w:t>
      </w:r>
    </w:p>
    <w:p w14:paraId="0A6787EC">
      <w:pPr>
        <w:spacing w:line="360" w:lineRule="auto"/>
        <w:rPr>
          <w:rFonts w:hint="eastAsia" w:ascii="微软雅黑 Light" w:hAnsi="微软雅黑 Light" w:eastAsia="微软雅黑 Light" w:cs="微软雅黑"/>
          <w:sz w:val="21"/>
          <w:szCs w:val="21"/>
        </w:rPr>
      </w:pPr>
      <w:r>
        <w:rPr>
          <w:rFonts w:hint="eastAsia" w:ascii="微软雅黑 Light" w:hAnsi="微软雅黑 Light" w:eastAsia="微软雅黑 Light" w:cs="微软雅黑"/>
          <w:sz w:val="21"/>
          <w:szCs w:val="21"/>
          <w:lang w:val="en-US" w:eastAsia="zh-CN"/>
        </w:rPr>
        <w:t>纳税人识别号：</w:t>
      </w:r>
      <w:r>
        <w:rPr>
          <w:rFonts w:ascii="微软雅黑 Light" w:hAnsi="微软雅黑 Light" w:eastAsia="微软雅黑 Light" w:cs="微软雅黑"/>
          <w:color w:val="000000"/>
          <w:sz w:val="21"/>
          <w:szCs w:val="21"/>
          <w:lang w:val="en-US" w:eastAsia="zh-CN" w:bidi="ar"/>
        </w:rPr>
        <w:t>911101050628167509</w:t>
      </w:r>
    </w:p>
    <w:p w14:paraId="0A6787ED">
      <w:pPr>
        <w:spacing w:line="360" w:lineRule="auto"/>
        <w:rPr>
          <w:rFonts w:hint="eastAsia" w:ascii="微软雅黑 Light" w:hAnsi="微软雅黑 Light" w:eastAsia="微软雅黑 Light" w:cs="微软雅黑"/>
          <w:sz w:val="21"/>
          <w:szCs w:val="21"/>
        </w:rPr>
      </w:pPr>
      <w:r>
        <w:rPr>
          <w:rFonts w:hint="eastAsia" w:ascii="微软雅黑 Light" w:hAnsi="微软雅黑 Light" w:eastAsia="微软雅黑 Light" w:cs="微软雅黑"/>
          <w:sz w:val="21"/>
          <w:szCs w:val="21"/>
          <w:lang w:val="en-US" w:eastAsia="zh-CN"/>
        </w:rPr>
        <w:t>地址、电话：</w:t>
      </w:r>
      <w:r>
        <w:rPr>
          <w:rFonts w:hint="eastAsia" w:ascii="微软雅黑 Light" w:hAnsi="微软雅黑 Light" w:eastAsia="微软雅黑 Light" w:cs="微软雅黑"/>
          <w:color w:val="000000"/>
          <w:sz w:val="21"/>
          <w:szCs w:val="21"/>
          <w:lang w:val="en-US" w:eastAsia="zh-CN" w:bidi="ar"/>
        </w:rPr>
        <w:t>北京市朝阳区呼家楼（京广中心）1号楼33层3314室010-65973897</w:t>
      </w:r>
    </w:p>
    <w:p w14:paraId="187EE7E1">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val="en-US" w:eastAsia="zh-CN"/>
        </w:rPr>
        <w:t>开户银行及账号：</w:t>
      </w:r>
      <w:r>
        <w:rPr>
          <w:rFonts w:hint="eastAsia" w:ascii="微软雅黑 Light" w:hAnsi="微软雅黑 Light" w:eastAsia="微软雅黑 Light" w:cs="微软雅黑"/>
          <w:color w:val="000000"/>
          <w:sz w:val="21"/>
          <w:szCs w:val="21"/>
          <w:lang w:val="en-US" w:eastAsia="zh-CN" w:bidi="ar"/>
        </w:rPr>
        <w:t>招商银行北京京广桥支行110938734410501</w:t>
      </w:r>
    </w:p>
    <w:sectPr>
      <w:headerReference r:id="rId5" w:type="default"/>
      <w:footerReference r:id="rId6" w:type="default"/>
      <w:pgSz w:w="12240" w:h="15840"/>
      <w:pgMar w:top="1440" w:right="1440" w:bottom="1440" w:left="1440" w:header="706" w:footer="706" w:gutter="0"/>
      <w:pgNumType w:start="1"/>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ly" w:date="2024-09-30T16:01:00Z" w:initials="">
    <w:p w14:paraId="0A6787F8">
      <w:pPr>
        <w:pStyle w:val="15"/>
        <w:rPr>
          <w:lang w:val="en-US" w:eastAsia="zh-CN"/>
        </w:rPr>
      </w:pPr>
      <w:r>
        <w:rPr>
          <w:rFonts w:hint="eastAsia"/>
          <w:lang w:val="en-US" w:eastAsia="zh-CN"/>
        </w:rPr>
        <w:t>如实际报价变动比较频繁，每份报价都盖章确认会导致项目时效性差的，可以请对方盖章，我们在需要时由公司书面指定的授权代表确认。或在工作说明书中另行约定报价确认方式。</w:t>
      </w:r>
    </w:p>
  </w:comment>
  <w:comment w:id="1" w:author="Lily" w:date="2024-09-30T16:10:00Z" w:initials="">
    <w:p w14:paraId="0A6787F9">
      <w:pPr>
        <w:pStyle w:val="15"/>
        <w:rPr>
          <w:lang w:val="en-US" w:eastAsia="zh-CN"/>
        </w:rPr>
      </w:pPr>
      <w:r>
        <w:rPr>
          <w:rFonts w:hint="eastAsia"/>
          <w:lang w:val="en-US" w:eastAsia="zh-CN"/>
        </w:rPr>
        <w:t>如与实际操作不符，可删除，并通过工作说明书约定送达方式。</w:t>
      </w:r>
    </w:p>
  </w:comment>
  <w:comment w:id="2" w:author="Lily" w:date="2024-09-22T23:30:00Z" w:initials="">
    <w:p w14:paraId="0A6787FA">
      <w:pPr>
        <w:pStyle w:val="15"/>
        <w:rPr>
          <w:lang w:val="en-US" w:eastAsia="zh-CN"/>
        </w:rPr>
      </w:pPr>
      <w:r>
        <w:rPr>
          <w:rFonts w:hint="eastAsia"/>
          <w:lang w:val="en-US" w:eastAsia="zh-CN"/>
        </w:rPr>
        <w:t>不符合标准的责任请另行明确。</w:t>
      </w:r>
    </w:p>
  </w:comment>
  <w:comment w:id="3" w:author="Lily" w:date="2024-09-22T23:32:00Z" w:initials="">
    <w:p w14:paraId="0A6787FB">
      <w:pPr>
        <w:pStyle w:val="15"/>
        <w:rPr>
          <w:lang w:val="en-US" w:eastAsia="zh-CN"/>
        </w:rPr>
      </w:pPr>
      <w:r>
        <w:rPr>
          <w:rFonts w:hint="eastAsia"/>
          <w:lang w:val="en-US" w:eastAsia="zh-CN"/>
        </w:rPr>
        <w:t>请与主体信息一致。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6787F8" w15:done="0"/>
  <w15:commentEx w15:paraId="0A6787F9" w15:done="0"/>
  <w15:commentEx w15:paraId="0A6787FA" w15:done="0"/>
  <w15:commentEx w15:paraId="0A6787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auto"/>
    <w:pitch w:val="default"/>
    <w:sig w:usb0="00000000" w:usb1="00000000" w:usb2="00000000" w:usb3="00000000" w:csb0="00000003"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775151"/>
    </w:sdtPr>
    <w:sdtContent>
      <w:sdt>
        <w:sdtPr>
          <w:id w:val="1728636285"/>
        </w:sdtPr>
        <w:sdtContent>
          <w:p w14:paraId="0A678805">
            <w:pPr>
              <w:pStyle w:val="2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A678806">
    <w:pPr>
      <w:pStyle w:val="24"/>
      <w:rPr>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104"/>
      <w:gridCol w:w="1367"/>
      <w:gridCol w:w="2738"/>
    </w:tblGrid>
    <w:tr w14:paraId="0A67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Pr>
        <w:p w14:paraId="0A6787FC">
          <w:pPr>
            <w:ind w:right="-191"/>
            <w:rPr>
              <w:rFonts w:hint="eastAsia" w:ascii="微软雅黑" w:hAnsi="微软雅黑" w:eastAsia="微软雅黑"/>
              <w:sz w:val="18"/>
            </w:rPr>
          </w:pPr>
          <w:bookmarkStart w:id="90" w:name="_Hlk56429334"/>
          <w:r>
            <w:rPr>
              <w:rFonts w:hint="eastAsia" w:ascii="微软雅黑" w:hAnsi="微软雅黑" w:eastAsia="微软雅黑"/>
              <w:sz w:val="18"/>
            </w:rPr>
            <w:t>文件类型</w:t>
          </w:r>
        </w:p>
      </w:tc>
      <w:tc>
        <w:tcPr>
          <w:tcW w:w="2143" w:type="pct"/>
        </w:tcPr>
        <w:p w14:paraId="0A6787FD">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优选供应商服务协议</w:t>
          </w:r>
        </w:p>
      </w:tc>
      <w:tc>
        <w:tcPr>
          <w:tcW w:w="714" w:type="pct"/>
        </w:tcPr>
        <w:p w14:paraId="0A6787FE">
          <w:pPr>
            <w:rPr>
              <w:rFonts w:hint="eastAsia" w:ascii="微软雅黑" w:hAnsi="微软雅黑" w:eastAsia="微软雅黑"/>
              <w:sz w:val="18"/>
            </w:rPr>
          </w:pPr>
          <w:r>
            <w:rPr>
              <w:rFonts w:hint="eastAsia" w:ascii="微软雅黑" w:hAnsi="微软雅黑" w:eastAsia="微软雅黑"/>
              <w:sz w:val="18"/>
            </w:rPr>
            <w:t>版本</w:t>
          </w:r>
        </w:p>
      </w:tc>
      <w:tc>
        <w:tcPr>
          <w:tcW w:w="1429" w:type="pct"/>
        </w:tcPr>
        <w:p w14:paraId="0A6787FF">
          <w:pPr>
            <w:rPr>
              <w:rFonts w:hint="eastAsia" w:ascii="微软雅黑" w:hAnsi="微软雅黑" w:eastAsia="微软雅黑"/>
              <w:sz w:val="18"/>
            </w:rPr>
          </w:pPr>
          <w:r>
            <w:rPr>
              <w:rFonts w:hint="eastAsia" w:ascii="微软雅黑" w:hAnsi="微软雅黑" w:eastAsia="微软雅黑"/>
              <w:sz w:val="18"/>
            </w:rPr>
            <w:t>202</w:t>
          </w:r>
          <w:r>
            <w:rPr>
              <w:rFonts w:hint="eastAsia" w:ascii="微软雅黑" w:hAnsi="微软雅黑" w:eastAsia="微软雅黑"/>
              <w:sz w:val="18"/>
              <w:lang w:val="en-US" w:eastAsia="zh-CN"/>
            </w:rPr>
            <w:t>4</w:t>
          </w:r>
          <w:r>
            <w:rPr>
              <w:rFonts w:hint="eastAsia" w:ascii="微软雅黑" w:hAnsi="微软雅黑" w:eastAsia="微软雅黑"/>
              <w:sz w:val="18"/>
            </w:rPr>
            <w:t>年</w:t>
          </w:r>
          <w:r>
            <w:rPr>
              <w:rFonts w:hint="eastAsia" w:ascii="微软雅黑" w:hAnsi="微软雅黑" w:eastAsia="微软雅黑"/>
              <w:sz w:val="18"/>
              <w:lang w:val="en-US" w:eastAsia="zh-CN"/>
            </w:rPr>
            <w:t>10</w:t>
          </w:r>
          <w:r>
            <w:rPr>
              <w:rFonts w:hint="eastAsia" w:ascii="微软雅黑" w:hAnsi="微软雅黑" w:eastAsia="微软雅黑"/>
              <w:sz w:val="18"/>
            </w:rPr>
            <w:t>月版</w:t>
          </w:r>
        </w:p>
      </w:tc>
    </w:tr>
    <w:tr w14:paraId="0A67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Align w:val="center"/>
        </w:tcPr>
        <w:p w14:paraId="0A678801">
          <w:pPr>
            <w:ind w:right="-191"/>
            <w:rPr>
              <w:rFonts w:hint="eastAsia" w:ascii="微软雅黑" w:hAnsi="微软雅黑" w:eastAsia="微软雅黑"/>
              <w:sz w:val="18"/>
            </w:rPr>
          </w:pPr>
          <w:r>
            <w:rPr>
              <w:rFonts w:hint="eastAsia" w:ascii="微软雅黑" w:hAnsi="微软雅黑" w:eastAsia="微软雅黑"/>
              <w:sz w:val="18"/>
            </w:rPr>
            <w:t>文件标题</w:t>
          </w:r>
        </w:p>
      </w:tc>
      <w:tc>
        <w:tcPr>
          <w:tcW w:w="4286" w:type="pct"/>
          <w:gridSpan w:val="3"/>
        </w:tcPr>
        <w:p w14:paraId="0A678802">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主服务协议</w:t>
          </w:r>
        </w:p>
      </w:tc>
    </w:tr>
    <w:bookmarkEnd w:id="90"/>
  </w:tbl>
  <w:p w14:paraId="0A678804">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1">
    <w:nsid w:val="0000001E"/>
    <w:multiLevelType w:val="multilevel"/>
    <w:tmpl w:val="0000001E"/>
    <w:lvl w:ilvl="0" w:tentative="0">
      <w:start w:val="1"/>
      <w:numFmt w:val="decimal"/>
      <w:pStyle w:val="52"/>
      <w:lvlText w:val="%1."/>
      <w:lvlJc w:val="left"/>
      <w:pPr>
        <w:tabs>
          <w:tab w:val="left" w:pos="1080"/>
        </w:tabs>
        <w:ind w:firstLine="720"/>
      </w:pPr>
      <w:rPr>
        <w:rFonts w:ascii="Times New Roman" w:hAnsi="Times New Roman" w:cs="Times New Roman"/>
        <w:b/>
        <w:bCs/>
        <w:i w:val="0"/>
        <w:iCs w:val="0"/>
        <w:spacing w:val="0"/>
      </w:rPr>
    </w:lvl>
    <w:lvl w:ilvl="1" w:tentative="0">
      <w:start w:val="1"/>
      <w:numFmt w:val="decimal"/>
      <w:lvlText w:val="%1.%2"/>
      <w:lvlJc w:val="left"/>
      <w:pPr>
        <w:tabs>
          <w:tab w:val="left" w:pos="1800"/>
        </w:tabs>
        <w:ind w:left="720" w:firstLine="720"/>
      </w:pPr>
    </w:lvl>
    <w:lvl w:ilvl="2" w:tentative="0">
      <w:start w:val="1"/>
      <w:numFmt w:val="lowerLetter"/>
      <w:pStyle w:val="53"/>
      <w:lvlText w:val="(%3)"/>
      <w:lvlJc w:val="left"/>
      <w:pPr>
        <w:tabs>
          <w:tab w:val="left" w:pos="2520"/>
        </w:tabs>
        <w:ind w:left="1440" w:firstLine="720"/>
      </w:pPr>
      <w:rPr>
        <w:b w:val="0"/>
        <w:bCs w:val="0"/>
        <w:i w:val="0"/>
        <w:iCs w:val="0"/>
        <w:spacing w:val="0"/>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02E6737A"/>
    <w:multiLevelType w:val="multilevel"/>
    <w:tmpl w:val="02E6737A"/>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E19749B"/>
    <w:multiLevelType w:val="multilevel"/>
    <w:tmpl w:val="0E19749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5F36B4"/>
    <w:multiLevelType w:val="multilevel"/>
    <w:tmpl w:val="1F5F36B4"/>
    <w:lvl w:ilvl="0" w:tentative="0">
      <w:start w:val="1"/>
      <w:numFmt w:val="decimal"/>
      <w:pStyle w:val="66"/>
      <w:lvlText w:val="%1."/>
      <w:lvlJc w:val="left"/>
      <w:pPr>
        <w:tabs>
          <w:tab w:val="left" w:pos="720"/>
        </w:tabs>
        <w:ind w:left="0" w:firstLine="0"/>
      </w:pPr>
      <w:rPr>
        <w:rFonts w:hint="default" w:ascii="Times New Roman" w:hAnsi="Times New Roman"/>
        <w:b w:val="0"/>
        <w:i w:val="0"/>
        <w:caps/>
        <w:smallCaps w:val="0"/>
        <w:sz w:val="24"/>
        <w:u w:val="none"/>
      </w:rPr>
    </w:lvl>
    <w:lvl w:ilvl="1" w:tentative="0">
      <w:start w:val="1"/>
      <w:numFmt w:val="decimal"/>
      <w:pStyle w:val="67"/>
      <w:lvlText w:val="%1.%2"/>
      <w:lvlJc w:val="left"/>
      <w:pPr>
        <w:tabs>
          <w:tab w:val="left" w:pos="1920"/>
        </w:tabs>
        <w:ind w:left="480" w:firstLine="720"/>
      </w:pPr>
      <w:rPr>
        <w:rFonts w:hint="default" w:ascii="Times New Roman" w:hAnsi="Times New Roman"/>
        <w:b w:val="0"/>
        <w:i w:val="0"/>
        <w:caps w:val="0"/>
        <w:smallCaps w:val="0"/>
        <w:sz w:val="22"/>
        <w:szCs w:val="22"/>
        <w:u w:val="none"/>
      </w:rPr>
    </w:lvl>
    <w:lvl w:ilvl="2" w:tentative="0">
      <w:start w:val="1"/>
      <w:numFmt w:val="lowerLetter"/>
      <w:pStyle w:val="68"/>
      <w:lvlText w:val="(%3)"/>
      <w:lvlJc w:val="left"/>
      <w:pPr>
        <w:tabs>
          <w:tab w:val="left" w:pos="1260"/>
        </w:tabs>
        <w:ind w:left="-900" w:firstLine="1440"/>
      </w:pPr>
      <w:rPr>
        <w:rFonts w:hint="default" w:ascii="Times New Roman" w:hAnsi="Times New Roman"/>
        <w:b w:val="0"/>
        <w:i w:val="0"/>
        <w:caps w:val="0"/>
        <w:smallCaps w:val="0"/>
        <w:sz w:val="22"/>
        <w:szCs w:val="22"/>
        <w:u w:val="none"/>
        <w:lang w:val="en-GB"/>
      </w:rPr>
    </w:lvl>
    <w:lvl w:ilvl="3" w:tentative="0">
      <w:start w:val="1"/>
      <w:numFmt w:val="lowerRoman"/>
      <w:pStyle w:val="69"/>
      <w:lvlText w:val="(%4)"/>
      <w:lvlJc w:val="left"/>
      <w:pPr>
        <w:tabs>
          <w:tab w:val="left" w:pos="2880"/>
        </w:tabs>
        <w:ind w:left="0" w:firstLine="2160"/>
      </w:pPr>
      <w:rPr>
        <w:rFonts w:hint="default" w:ascii="Times New Roman" w:hAnsi="Times New Roman"/>
        <w:b w:val="0"/>
        <w:i w:val="0"/>
        <w:caps w:val="0"/>
        <w:smallCaps w:val="0"/>
        <w:sz w:val="22"/>
        <w:szCs w:val="22"/>
        <w:u w:val="none"/>
      </w:rPr>
    </w:lvl>
    <w:lvl w:ilvl="4" w:tentative="0">
      <w:start w:val="1"/>
      <w:numFmt w:val="decimal"/>
      <w:pStyle w:val="70"/>
      <w:lvlText w:val="(%5)"/>
      <w:lvlJc w:val="left"/>
      <w:pPr>
        <w:tabs>
          <w:tab w:val="left" w:pos="3600"/>
        </w:tabs>
        <w:ind w:left="0" w:firstLine="2880"/>
      </w:pPr>
      <w:rPr>
        <w:rFonts w:hint="default" w:ascii="Times New Roman" w:hAnsi="Times New Roman"/>
        <w:b w:val="0"/>
        <w:i w:val="0"/>
        <w:caps w:val="0"/>
        <w:smallCaps w:val="0"/>
        <w:sz w:val="24"/>
        <w:u w:val="none"/>
      </w:rPr>
    </w:lvl>
    <w:lvl w:ilvl="5" w:tentative="0">
      <w:start w:val="1"/>
      <w:numFmt w:val="lowerLetter"/>
      <w:pStyle w:val="71"/>
      <w:lvlText w:val="%6."/>
      <w:lvlJc w:val="left"/>
      <w:pPr>
        <w:tabs>
          <w:tab w:val="left" w:pos="4320"/>
        </w:tabs>
        <w:ind w:left="0" w:firstLine="3600"/>
      </w:pPr>
      <w:rPr>
        <w:rFonts w:hint="default" w:ascii="Times New Roman" w:hAnsi="Times New Roman"/>
        <w:b w:val="0"/>
        <w:i w:val="0"/>
        <w:caps w:val="0"/>
        <w:smallCaps w:val="0"/>
        <w:sz w:val="24"/>
        <w:u w:val="none"/>
      </w:rPr>
    </w:lvl>
    <w:lvl w:ilvl="6" w:tentative="0">
      <w:start w:val="1"/>
      <w:numFmt w:val="lowerRoman"/>
      <w:pStyle w:val="72"/>
      <w:lvlText w:val="%7."/>
      <w:lvlJc w:val="left"/>
      <w:pPr>
        <w:tabs>
          <w:tab w:val="left" w:pos="5040"/>
        </w:tabs>
        <w:ind w:left="0" w:firstLine="4320"/>
      </w:pPr>
      <w:rPr>
        <w:rFonts w:hint="default" w:ascii="Times New Roman" w:hAnsi="Times New Roman"/>
        <w:b w:val="0"/>
        <w:i w:val="0"/>
        <w:caps w:val="0"/>
        <w:smallCaps w:val="0"/>
        <w:sz w:val="24"/>
        <w:u w:val="none"/>
      </w:rPr>
    </w:lvl>
    <w:lvl w:ilvl="7" w:tentative="0">
      <w:start w:val="1"/>
      <w:numFmt w:val="lowerLetter"/>
      <w:pStyle w:val="73"/>
      <w:lvlText w:val="%8)"/>
      <w:lvlJc w:val="left"/>
      <w:pPr>
        <w:tabs>
          <w:tab w:val="left" w:pos="5760"/>
        </w:tabs>
        <w:ind w:left="0" w:firstLine="5040"/>
      </w:pPr>
      <w:rPr>
        <w:rFonts w:hint="default" w:ascii="Times New Roman" w:hAnsi="Times New Roman"/>
        <w:b w:val="0"/>
        <w:i w:val="0"/>
        <w:caps w:val="0"/>
        <w:smallCaps w:val="0"/>
        <w:sz w:val="24"/>
        <w:u w:val="none"/>
      </w:rPr>
    </w:lvl>
    <w:lvl w:ilvl="8" w:tentative="0">
      <w:start w:val="1"/>
      <w:numFmt w:val="lowerRoman"/>
      <w:pStyle w:val="74"/>
      <w:lvlText w:val="%9)"/>
      <w:lvlJc w:val="left"/>
      <w:pPr>
        <w:tabs>
          <w:tab w:val="left" w:pos="6480"/>
        </w:tabs>
        <w:ind w:left="0" w:firstLine="5760"/>
      </w:pPr>
      <w:rPr>
        <w:rFonts w:hint="default" w:ascii="Times New Roman" w:hAnsi="Times New Roman"/>
        <w:b w:val="0"/>
        <w:i w:val="0"/>
        <w:caps w:val="0"/>
        <w:smallCaps w:val="0"/>
        <w:sz w:val="24"/>
        <w:u w:val="none"/>
      </w:rPr>
    </w:lvl>
  </w:abstractNum>
  <w:abstractNum w:abstractNumId="5">
    <w:nsid w:val="2444BAB7"/>
    <w:multiLevelType w:val="singleLevel"/>
    <w:tmpl w:val="2444BAB7"/>
    <w:lvl w:ilvl="0" w:tentative="0">
      <w:start w:val="10"/>
      <w:numFmt w:val="chineseCounting"/>
      <w:suff w:val="nothing"/>
      <w:lvlText w:val="%1、"/>
      <w:lvlJc w:val="left"/>
      <w:rPr>
        <w:rFonts w:hint="eastAsia"/>
      </w:rPr>
    </w:lvl>
  </w:abstractNum>
  <w:abstractNum w:abstractNumId="6">
    <w:nsid w:val="294C738A"/>
    <w:multiLevelType w:val="multilevel"/>
    <w:tmpl w:val="294C738A"/>
    <w:lvl w:ilvl="0" w:tentative="0">
      <w:start w:val="1"/>
      <w:numFmt w:val="lowerRoman"/>
      <w:pStyle w:val="6"/>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B36AB5"/>
    <w:multiLevelType w:val="multilevel"/>
    <w:tmpl w:val="31B36AB5"/>
    <w:lvl w:ilvl="0" w:tentative="0">
      <w:start w:val="1"/>
      <w:numFmt w:val="lowerLetter"/>
      <w:pStyle w:val="5"/>
      <w:lvlText w:val="(%1)"/>
      <w:lvlJc w:val="left"/>
      <w:pPr>
        <w:ind w:left="720" w:hanging="360"/>
      </w:pPr>
      <w:rPr>
        <w:rFonts w:hint="default" w:ascii="Arial" w:hAnsi="Arial" w:cs="Arial"/>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BC47D6B"/>
    <w:multiLevelType w:val="multilevel"/>
    <w:tmpl w:val="3BC47D6B"/>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01329FB"/>
    <w:multiLevelType w:val="multilevel"/>
    <w:tmpl w:val="501329FB"/>
    <w:lvl w:ilvl="0" w:tentative="0">
      <w:start w:val="1"/>
      <w:numFmt w:val="decimal"/>
      <w:pStyle w:val="4"/>
      <w:lvlText w:val="Section %1"/>
      <w:lvlJc w:val="left"/>
      <w:pPr>
        <w:tabs>
          <w:tab w:val="left" w:pos="2268"/>
        </w:tabs>
        <w:ind w:left="2268" w:hanging="2268"/>
      </w:pPr>
      <w:rPr>
        <w:rFonts w:hint="default" w:ascii="Arial" w:hAnsi="Arial"/>
        <w:b/>
        <w:i w:val="0"/>
        <w:caps w:val="0"/>
        <w:sz w:val="24"/>
        <w:szCs w:val="24"/>
        <w:u w:val="none"/>
      </w:rPr>
    </w:lvl>
    <w:lvl w:ilvl="1" w:tentative="0">
      <w:start w:val="1"/>
      <w:numFmt w:val="decimal"/>
      <w:lvlText w:val="%2."/>
      <w:lvlJc w:val="left"/>
      <w:pPr>
        <w:ind w:left="440" w:hanging="440"/>
      </w:pPr>
    </w:lvl>
    <w:lvl w:ilvl="2" w:tentative="0">
      <w:start w:val="1"/>
      <w:numFmt w:val="lowerLetter"/>
      <w:lvlText w:val="%3)"/>
      <w:lvlJc w:val="left"/>
      <w:pPr>
        <w:tabs>
          <w:tab w:val="left" w:pos="900"/>
        </w:tabs>
        <w:ind w:left="900" w:hanging="360"/>
      </w:pPr>
      <w:rPr>
        <w:rFonts w:hint="default" w:ascii="Arial" w:hAnsi="Arial"/>
        <w:b w:val="0"/>
        <w:i w:val="0"/>
        <w:sz w:val="22"/>
        <w:szCs w:val="22"/>
        <w:u w:val="none"/>
      </w:rPr>
    </w:lvl>
    <w:lvl w:ilvl="3" w:tentative="0">
      <w:start w:val="1"/>
      <w:numFmt w:val="decimal"/>
      <w:lvlText w:val="%1.%2.%3.%4"/>
      <w:lvlJc w:val="left"/>
      <w:pPr>
        <w:tabs>
          <w:tab w:val="left" w:pos="1404"/>
        </w:tabs>
        <w:ind w:left="1404" w:hanging="864"/>
      </w:pPr>
      <w:rPr>
        <w:rFonts w:hint="default"/>
      </w:rPr>
    </w:lvl>
    <w:lvl w:ilvl="4" w:tentative="0">
      <w:start w:val="1"/>
      <w:numFmt w:val="decimal"/>
      <w:lvlText w:val="%1.%2.%3.%4.%5"/>
      <w:lvlJc w:val="left"/>
      <w:pPr>
        <w:tabs>
          <w:tab w:val="left" w:pos="1548"/>
        </w:tabs>
        <w:ind w:left="1548" w:hanging="1008"/>
      </w:pPr>
      <w:rPr>
        <w:rFonts w:hint="default"/>
      </w:rPr>
    </w:lvl>
    <w:lvl w:ilvl="5" w:tentative="0">
      <w:start w:val="1"/>
      <w:numFmt w:val="decimal"/>
      <w:pStyle w:val="7"/>
      <w:lvlText w:val="%1.%2.%3.%4.%5.%6"/>
      <w:lvlJc w:val="left"/>
      <w:pPr>
        <w:tabs>
          <w:tab w:val="left" w:pos="1692"/>
        </w:tabs>
        <w:ind w:left="1692" w:hanging="1152"/>
      </w:pPr>
      <w:rPr>
        <w:rFonts w:hint="default"/>
      </w:rPr>
    </w:lvl>
    <w:lvl w:ilvl="6" w:tentative="0">
      <w:start w:val="1"/>
      <w:numFmt w:val="decimal"/>
      <w:pStyle w:val="8"/>
      <w:lvlText w:val="%1.%2.%3.%4.%5.%6.%7"/>
      <w:lvlJc w:val="left"/>
      <w:pPr>
        <w:tabs>
          <w:tab w:val="left" w:pos="1836"/>
        </w:tabs>
        <w:ind w:left="1836" w:hanging="1296"/>
      </w:pPr>
      <w:rPr>
        <w:rFonts w:hint="default"/>
      </w:rPr>
    </w:lvl>
    <w:lvl w:ilvl="7" w:tentative="0">
      <w:start w:val="1"/>
      <w:numFmt w:val="decimal"/>
      <w:pStyle w:val="9"/>
      <w:lvlText w:val="%1.%2.%3.%4.%5.%6.%7.%8"/>
      <w:lvlJc w:val="left"/>
      <w:pPr>
        <w:tabs>
          <w:tab w:val="left" w:pos="1980"/>
        </w:tabs>
        <w:ind w:left="1980" w:hanging="1440"/>
      </w:pPr>
      <w:rPr>
        <w:rFonts w:hint="default"/>
      </w:rPr>
    </w:lvl>
    <w:lvl w:ilvl="8" w:tentative="0">
      <w:start w:val="1"/>
      <w:numFmt w:val="decimal"/>
      <w:pStyle w:val="10"/>
      <w:lvlText w:val="%1.%2.%3.%4.%5.%6.%7.%8.%9"/>
      <w:lvlJc w:val="left"/>
      <w:pPr>
        <w:tabs>
          <w:tab w:val="left" w:pos="2124"/>
        </w:tabs>
        <w:ind w:left="2124" w:hanging="1584"/>
      </w:pPr>
      <w:rPr>
        <w:rFonts w:hint="default"/>
      </w:rPr>
    </w:lvl>
  </w:abstractNum>
  <w:abstractNum w:abstractNumId="10">
    <w:nsid w:val="61E271FC"/>
    <w:multiLevelType w:val="multilevel"/>
    <w:tmpl w:val="61E271FC"/>
    <w:lvl w:ilvl="0" w:tentative="0">
      <w:start w:val="1"/>
      <w:numFmt w:val="lowerRoman"/>
      <w:pStyle w:val="47"/>
      <w:lvlText w:val="%1)"/>
      <w:lvlJc w:val="left"/>
      <w:pPr>
        <w:tabs>
          <w:tab w:val="left" w:pos="1080"/>
        </w:tabs>
        <w:ind w:left="1080" w:hanging="720"/>
      </w:pPr>
      <w:rPr>
        <w:rFonts w:hint="default"/>
        <w:sz w:val="20"/>
        <w:szCs w:val="20"/>
      </w:rPr>
    </w:lvl>
    <w:lvl w:ilvl="1" w:tentative="0">
      <w:start w:val="1"/>
      <w:numFmt w:val="lowerRoman"/>
      <w:pStyle w:val="50"/>
      <w:lvlText w:val="%2)"/>
      <w:lvlJc w:val="left"/>
      <w:pPr>
        <w:tabs>
          <w:tab w:val="left" w:pos="900"/>
        </w:tabs>
        <w:ind w:left="900" w:hanging="720"/>
      </w:pPr>
      <w:rPr>
        <w:rFonts w:hint="default"/>
      </w:rPr>
    </w:lvl>
    <w:lvl w:ilvl="2" w:tentative="0">
      <w:start w:val="1"/>
      <w:numFmt w:val="lowerRoman"/>
      <w:pStyle w:val="49"/>
      <w:lvlText w:val="%3."/>
      <w:lvlJc w:val="right"/>
      <w:pPr>
        <w:tabs>
          <w:tab w:val="left" w:pos="180"/>
        </w:tabs>
        <w:ind w:left="180" w:hanging="180"/>
      </w:pPr>
    </w:lvl>
    <w:lvl w:ilvl="3" w:tentative="0">
      <w:start w:val="1"/>
      <w:numFmt w:val="decimal"/>
      <w:pStyle w:val="48"/>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454312B"/>
    <w:multiLevelType w:val="multilevel"/>
    <w:tmpl w:val="6454312B"/>
    <w:lvl w:ilvl="0" w:tentative="0">
      <w:start w:val="1"/>
      <w:numFmt w:val="lowerLetter"/>
      <w:lvlText w:val="(%1)"/>
      <w:lvlJc w:val="left"/>
      <w:pPr>
        <w:ind w:left="940" w:hanging="370"/>
      </w:pPr>
      <w:rPr>
        <w:rFonts w:hint="default" w:eastAsia="宋体"/>
      </w:rPr>
    </w:lvl>
    <w:lvl w:ilvl="1" w:tentative="0">
      <w:start w:val="1"/>
      <w:numFmt w:val="lowerLetter"/>
      <w:lvlText w:val="%2)"/>
      <w:lvlJc w:val="left"/>
      <w:pPr>
        <w:ind w:left="1450" w:hanging="440"/>
      </w:pPr>
    </w:lvl>
    <w:lvl w:ilvl="2" w:tentative="0">
      <w:start w:val="1"/>
      <w:numFmt w:val="lowerRoman"/>
      <w:lvlText w:val="%3."/>
      <w:lvlJc w:val="right"/>
      <w:pPr>
        <w:ind w:left="1890" w:hanging="440"/>
      </w:pPr>
    </w:lvl>
    <w:lvl w:ilvl="3" w:tentative="0">
      <w:start w:val="1"/>
      <w:numFmt w:val="decimal"/>
      <w:lvlText w:val="%4."/>
      <w:lvlJc w:val="left"/>
      <w:pPr>
        <w:ind w:left="2330" w:hanging="440"/>
      </w:pPr>
    </w:lvl>
    <w:lvl w:ilvl="4" w:tentative="0">
      <w:start w:val="1"/>
      <w:numFmt w:val="lowerLetter"/>
      <w:lvlText w:val="%5)"/>
      <w:lvlJc w:val="left"/>
      <w:pPr>
        <w:ind w:left="2770" w:hanging="440"/>
      </w:pPr>
    </w:lvl>
    <w:lvl w:ilvl="5" w:tentative="0">
      <w:start w:val="1"/>
      <w:numFmt w:val="lowerRoman"/>
      <w:lvlText w:val="%6."/>
      <w:lvlJc w:val="right"/>
      <w:pPr>
        <w:ind w:left="3210" w:hanging="440"/>
      </w:pPr>
    </w:lvl>
    <w:lvl w:ilvl="6" w:tentative="0">
      <w:start w:val="1"/>
      <w:numFmt w:val="decimal"/>
      <w:lvlText w:val="%7."/>
      <w:lvlJc w:val="left"/>
      <w:pPr>
        <w:ind w:left="3650" w:hanging="440"/>
      </w:pPr>
    </w:lvl>
    <w:lvl w:ilvl="7" w:tentative="0">
      <w:start w:val="1"/>
      <w:numFmt w:val="lowerLetter"/>
      <w:lvlText w:val="%8)"/>
      <w:lvlJc w:val="left"/>
      <w:pPr>
        <w:ind w:left="4090" w:hanging="440"/>
      </w:pPr>
    </w:lvl>
    <w:lvl w:ilvl="8" w:tentative="0">
      <w:start w:val="1"/>
      <w:numFmt w:val="lowerRoman"/>
      <w:lvlText w:val="%9."/>
      <w:lvlJc w:val="right"/>
      <w:pPr>
        <w:ind w:left="4530" w:hanging="440"/>
      </w:pPr>
    </w:lvl>
  </w:abstractNum>
  <w:abstractNum w:abstractNumId="12">
    <w:nsid w:val="661803A2"/>
    <w:multiLevelType w:val="multilevel"/>
    <w:tmpl w:val="661803A2"/>
    <w:lvl w:ilvl="0" w:tentative="0">
      <w:start w:val="1"/>
      <w:numFmt w:val="decimal"/>
      <w:pStyle w:val="57"/>
      <w:lvlText w:val="%1."/>
      <w:lvlJc w:val="left"/>
      <w:pPr>
        <w:tabs>
          <w:tab w:val="left" w:pos="1080"/>
        </w:tabs>
        <w:ind w:left="360" w:firstLine="0"/>
      </w:pPr>
      <w:rPr>
        <w:rFonts w:ascii="Times New Roman" w:hAnsi="Times New Roman" w:cs="Times New Roman"/>
        <w:b/>
        <w:i w:val="0"/>
        <w:caps w:val="0"/>
        <w:color w:val="auto"/>
        <w:u w:val="none"/>
      </w:rPr>
    </w:lvl>
    <w:lvl w:ilvl="1" w:tentative="0">
      <w:start w:val="1"/>
      <w:numFmt w:val="decimal"/>
      <w:pStyle w:val="58"/>
      <w:lvlText w:val="%1.%2"/>
      <w:lvlJc w:val="left"/>
      <w:pPr>
        <w:tabs>
          <w:tab w:val="left" w:pos="720"/>
        </w:tabs>
        <w:ind w:left="0" w:firstLine="0"/>
      </w:pPr>
      <w:rPr>
        <w:rFonts w:ascii="Times New Roman" w:hAnsi="Times New Roman" w:cs="Times New Roman"/>
        <w:b w:val="0"/>
        <w:i w:val="0"/>
        <w:caps w:val="0"/>
        <w:color w:val="auto"/>
        <w:u w:val="none"/>
      </w:rPr>
    </w:lvl>
    <w:lvl w:ilvl="2" w:tentative="0">
      <w:start w:val="1"/>
      <w:numFmt w:val="lowerLetter"/>
      <w:pStyle w:val="59"/>
      <w:lvlText w:val="(%3)"/>
      <w:lvlJc w:val="left"/>
      <w:pPr>
        <w:tabs>
          <w:tab w:val="left" w:pos="720"/>
        </w:tabs>
        <w:ind w:left="720" w:hanging="720"/>
      </w:pPr>
      <w:rPr>
        <w:b w:val="0"/>
        <w:i w:val="0"/>
        <w:caps w:val="0"/>
        <w:color w:val="auto"/>
        <w:u w:val="none"/>
      </w:rPr>
    </w:lvl>
    <w:lvl w:ilvl="3" w:tentative="0">
      <w:start w:val="1"/>
      <w:numFmt w:val="lowerRoman"/>
      <w:pStyle w:val="60"/>
      <w:lvlText w:val="(%4)"/>
      <w:lvlJc w:val="right"/>
      <w:pPr>
        <w:tabs>
          <w:tab w:val="left" w:pos="1440"/>
        </w:tabs>
        <w:ind w:left="1440" w:hanging="216"/>
      </w:pPr>
      <w:rPr>
        <w:rFonts w:ascii="Times New Roman" w:hAnsi="Times New Roman" w:cs="Times New Roman"/>
        <w:b w:val="0"/>
        <w:i w:val="0"/>
        <w:caps w:val="0"/>
        <w:color w:val="auto"/>
        <w:u w:val="none"/>
      </w:rPr>
    </w:lvl>
    <w:lvl w:ilvl="4" w:tentative="0">
      <w:start w:val="1"/>
      <w:numFmt w:val="upperLetter"/>
      <w:pStyle w:val="61"/>
      <w:lvlText w:val="(%5)"/>
      <w:lvlJc w:val="left"/>
      <w:pPr>
        <w:tabs>
          <w:tab w:val="left" w:pos="2160"/>
        </w:tabs>
        <w:ind w:left="2160" w:hanging="720"/>
      </w:pPr>
      <w:rPr>
        <w:rFonts w:ascii="Times New Roman" w:hAnsi="Times New Roman" w:cs="Times New Roman"/>
        <w:b w:val="0"/>
        <w:i w:val="0"/>
        <w:caps w:val="0"/>
        <w:color w:val="auto"/>
        <w:u w:val="none"/>
      </w:rPr>
    </w:lvl>
    <w:lvl w:ilvl="5" w:tentative="0">
      <w:start w:val="1"/>
      <w:numFmt w:val="upperRoman"/>
      <w:pStyle w:val="62"/>
      <w:lvlText w:val="(%6)"/>
      <w:lvlJc w:val="right"/>
      <w:pPr>
        <w:tabs>
          <w:tab w:val="left" w:pos="2880"/>
        </w:tabs>
        <w:ind w:left="2880" w:hanging="216"/>
      </w:pPr>
      <w:rPr>
        <w:rFonts w:ascii="Times New Roman" w:hAnsi="Times New Roman" w:cs="Times New Roman"/>
        <w:b w:val="0"/>
        <w:i w:val="0"/>
        <w:caps w:val="0"/>
        <w:color w:val="auto"/>
        <w:u w:val="none"/>
      </w:rPr>
    </w:lvl>
    <w:lvl w:ilvl="6" w:tentative="0">
      <w:start w:val="27"/>
      <w:numFmt w:val="lowerLetter"/>
      <w:pStyle w:val="63"/>
      <w:lvlText w:val="(%7)"/>
      <w:lvlJc w:val="left"/>
      <w:pPr>
        <w:tabs>
          <w:tab w:val="left" w:pos="3600"/>
        </w:tabs>
        <w:ind w:left="3600" w:hanging="720"/>
      </w:pPr>
      <w:rPr>
        <w:rFonts w:ascii="Times New Roman" w:hAnsi="Times New Roman" w:cs="Times New Roman"/>
        <w:b w:val="0"/>
        <w:i w:val="0"/>
        <w:caps w:val="0"/>
        <w:color w:val="auto"/>
        <w:u w:val="none"/>
      </w:rPr>
    </w:lvl>
    <w:lvl w:ilvl="7" w:tentative="0">
      <w:start w:val="1"/>
      <w:numFmt w:val="decimal"/>
      <w:pStyle w:val="64"/>
      <w:lvlText w:val="(%8)"/>
      <w:lvlJc w:val="left"/>
      <w:pPr>
        <w:tabs>
          <w:tab w:val="left" w:pos="4320"/>
        </w:tabs>
        <w:ind w:left="4320" w:hanging="720"/>
      </w:pPr>
      <w:rPr>
        <w:rFonts w:ascii="Times New Roman" w:hAnsi="Times New Roman" w:cs="Times New Roman"/>
        <w:b w:val="0"/>
        <w:i w:val="0"/>
        <w:caps w:val="0"/>
        <w:color w:val="auto"/>
        <w:u w:val="none"/>
      </w:rPr>
    </w:lvl>
    <w:lvl w:ilvl="8" w:tentative="0">
      <w:start w:val="1"/>
      <w:numFmt w:val="lowerRoman"/>
      <w:lvlText w:val="%9)"/>
      <w:lvlJc w:val="left"/>
      <w:pPr>
        <w:tabs>
          <w:tab w:val="left" w:pos="5760"/>
        </w:tabs>
        <w:ind w:left="5760" w:hanging="720"/>
      </w:pPr>
      <w:rPr>
        <w:rFonts w:ascii="Times New Roman" w:hAnsi="Times New Roman" w:cs="Times New Roman"/>
        <w:b w:val="0"/>
        <w:i w:val="0"/>
        <w:caps w:val="0"/>
        <w:color w:val="auto"/>
        <w:u w:val="none"/>
      </w:rPr>
    </w:lvl>
  </w:abstractNum>
  <w:abstractNum w:abstractNumId="13">
    <w:nsid w:val="7DFC0545"/>
    <w:multiLevelType w:val="multilevel"/>
    <w:tmpl w:val="7DFC0545"/>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4">
    <w:nsid w:val="7ED87AFD"/>
    <w:multiLevelType w:val="multilevel"/>
    <w:tmpl w:val="7ED87AFD"/>
    <w:lvl w:ilvl="0" w:tentative="0">
      <w:start w:val="1"/>
      <w:numFmt w:val="lowerLetter"/>
      <w:lvlText w:val="(%1)"/>
      <w:lvlJc w:val="left"/>
      <w:pPr>
        <w:ind w:left="720" w:hanging="360"/>
      </w:pPr>
      <w:rPr>
        <w:rFonts w:hint="default" w:ascii="Arial" w:hAnsi="Arial" w:cs="Arial"/>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9"/>
  </w:num>
  <w:num w:numId="2">
    <w:abstractNumId w:val="7"/>
  </w:num>
  <w:num w:numId="3">
    <w:abstractNumId w:val="6"/>
  </w:num>
  <w:num w:numId="4">
    <w:abstractNumId w:val="0"/>
  </w:num>
  <w:num w:numId="5">
    <w:abstractNumId w:val="10"/>
  </w:num>
  <w:num w:numId="6">
    <w:abstractNumId w:val="1"/>
  </w:num>
  <w:num w:numId="7">
    <w:abstractNumId w:val="12"/>
  </w:num>
  <w:num w:numId="8">
    <w:abstractNumId w:val="4"/>
  </w:num>
  <w:num w:numId="9">
    <w:abstractNumId w:val="7"/>
    <w:lvlOverride w:ilvl="0">
      <w:startOverride w:val="1"/>
    </w:lvlOverride>
  </w:num>
  <w:num w:numId="10">
    <w:abstractNumId w:val="2"/>
  </w:num>
  <w:num w:numId="11">
    <w:abstractNumId w:val="13"/>
  </w:num>
  <w:num w:numId="12">
    <w:abstractNumId w:val="14"/>
  </w:num>
  <w:num w:numId="13">
    <w:abstractNumId w:val="3"/>
  </w:num>
  <w:num w:numId="14">
    <w:abstractNumId w:val="11"/>
  </w:num>
  <w:num w:numId="15">
    <w:abstractNumId w:val="8"/>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ly">
    <w15:presenceInfo w15:providerId="None" w15:userId="L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MWY0ZDE2MDQ3NjRmYmVkOWI4MzJlMTJiNGUxNzIifQ=="/>
  </w:docVars>
  <w:rsids>
    <w:rsidRoot w:val="00844F72"/>
    <w:rsid w:val="00000030"/>
    <w:rsid w:val="00006A8D"/>
    <w:rsid w:val="00010515"/>
    <w:rsid w:val="000107D3"/>
    <w:rsid w:val="00015790"/>
    <w:rsid w:val="00016281"/>
    <w:rsid w:val="00021E12"/>
    <w:rsid w:val="00023F99"/>
    <w:rsid w:val="00024A76"/>
    <w:rsid w:val="00025938"/>
    <w:rsid w:val="00027E3C"/>
    <w:rsid w:val="00042559"/>
    <w:rsid w:val="000438B7"/>
    <w:rsid w:val="00043D08"/>
    <w:rsid w:val="00043E1B"/>
    <w:rsid w:val="000456E1"/>
    <w:rsid w:val="00050659"/>
    <w:rsid w:val="0005109B"/>
    <w:rsid w:val="000514BB"/>
    <w:rsid w:val="00052B66"/>
    <w:rsid w:val="00053BE0"/>
    <w:rsid w:val="0005406F"/>
    <w:rsid w:val="000553C6"/>
    <w:rsid w:val="00060A25"/>
    <w:rsid w:val="00063889"/>
    <w:rsid w:val="00063E62"/>
    <w:rsid w:val="00063FDD"/>
    <w:rsid w:val="0006407B"/>
    <w:rsid w:val="00065338"/>
    <w:rsid w:val="0006681D"/>
    <w:rsid w:val="000669DD"/>
    <w:rsid w:val="00066F16"/>
    <w:rsid w:val="0007152D"/>
    <w:rsid w:val="00074A04"/>
    <w:rsid w:val="00083316"/>
    <w:rsid w:val="0008397F"/>
    <w:rsid w:val="00083CDF"/>
    <w:rsid w:val="000852D0"/>
    <w:rsid w:val="00090B70"/>
    <w:rsid w:val="0009202C"/>
    <w:rsid w:val="00092359"/>
    <w:rsid w:val="00092F65"/>
    <w:rsid w:val="00093280"/>
    <w:rsid w:val="0009356A"/>
    <w:rsid w:val="00094A7B"/>
    <w:rsid w:val="00094AF6"/>
    <w:rsid w:val="0009741A"/>
    <w:rsid w:val="000A012F"/>
    <w:rsid w:val="000A1478"/>
    <w:rsid w:val="000A2052"/>
    <w:rsid w:val="000A23EB"/>
    <w:rsid w:val="000A28A4"/>
    <w:rsid w:val="000A2C8E"/>
    <w:rsid w:val="000A2FA9"/>
    <w:rsid w:val="000B100E"/>
    <w:rsid w:val="000B3A2C"/>
    <w:rsid w:val="000B4A84"/>
    <w:rsid w:val="000B5248"/>
    <w:rsid w:val="000B6312"/>
    <w:rsid w:val="000C1715"/>
    <w:rsid w:val="000C33B3"/>
    <w:rsid w:val="000C3F19"/>
    <w:rsid w:val="000C7E21"/>
    <w:rsid w:val="000D13BE"/>
    <w:rsid w:val="000D1BD1"/>
    <w:rsid w:val="000D4EC0"/>
    <w:rsid w:val="000D53F7"/>
    <w:rsid w:val="000D5B56"/>
    <w:rsid w:val="000D6A17"/>
    <w:rsid w:val="000E0C2B"/>
    <w:rsid w:val="000E1468"/>
    <w:rsid w:val="000E2CEF"/>
    <w:rsid w:val="000E6B0C"/>
    <w:rsid w:val="000E71F0"/>
    <w:rsid w:val="000E7860"/>
    <w:rsid w:val="000F0172"/>
    <w:rsid w:val="000F2D47"/>
    <w:rsid w:val="000F4D67"/>
    <w:rsid w:val="000F55BC"/>
    <w:rsid w:val="000F5C39"/>
    <w:rsid w:val="001017EF"/>
    <w:rsid w:val="0010302B"/>
    <w:rsid w:val="00103FD6"/>
    <w:rsid w:val="001047B1"/>
    <w:rsid w:val="00110477"/>
    <w:rsid w:val="0011156D"/>
    <w:rsid w:val="00112B7D"/>
    <w:rsid w:val="00112F1D"/>
    <w:rsid w:val="0011303A"/>
    <w:rsid w:val="00113182"/>
    <w:rsid w:val="001143ED"/>
    <w:rsid w:val="00114B2E"/>
    <w:rsid w:val="00115983"/>
    <w:rsid w:val="00120B5C"/>
    <w:rsid w:val="00121EB4"/>
    <w:rsid w:val="0012218F"/>
    <w:rsid w:val="00125E77"/>
    <w:rsid w:val="001277B8"/>
    <w:rsid w:val="00127C0A"/>
    <w:rsid w:val="00130687"/>
    <w:rsid w:val="001322F8"/>
    <w:rsid w:val="00134745"/>
    <w:rsid w:val="00134E49"/>
    <w:rsid w:val="00137A53"/>
    <w:rsid w:val="001405EC"/>
    <w:rsid w:val="00140760"/>
    <w:rsid w:val="00140F72"/>
    <w:rsid w:val="00141AAB"/>
    <w:rsid w:val="00141B44"/>
    <w:rsid w:val="00142EE2"/>
    <w:rsid w:val="00144A43"/>
    <w:rsid w:val="00144F64"/>
    <w:rsid w:val="00145575"/>
    <w:rsid w:val="00145803"/>
    <w:rsid w:val="00151827"/>
    <w:rsid w:val="001527E4"/>
    <w:rsid w:val="00153313"/>
    <w:rsid w:val="001560D1"/>
    <w:rsid w:val="0015686B"/>
    <w:rsid w:val="00161022"/>
    <w:rsid w:val="00163AFD"/>
    <w:rsid w:val="0017058B"/>
    <w:rsid w:val="00170ACF"/>
    <w:rsid w:val="00171B5E"/>
    <w:rsid w:val="00172459"/>
    <w:rsid w:val="00172875"/>
    <w:rsid w:val="001744FA"/>
    <w:rsid w:val="00175112"/>
    <w:rsid w:val="00175A6A"/>
    <w:rsid w:val="00177E4B"/>
    <w:rsid w:val="00182443"/>
    <w:rsid w:val="0018404A"/>
    <w:rsid w:val="0018558E"/>
    <w:rsid w:val="00190550"/>
    <w:rsid w:val="00191B30"/>
    <w:rsid w:val="00193EFC"/>
    <w:rsid w:val="00194382"/>
    <w:rsid w:val="001A06BE"/>
    <w:rsid w:val="001A209A"/>
    <w:rsid w:val="001A20DF"/>
    <w:rsid w:val="001A3B41"/>
    <w:rsid w:val="001B0047"/>
    <w:rsid w:val="001B19B2"/>
    <w:rsid w:val="001B1BC7"/>
    <w:rsid w:val="001B23A3"/>
    <w:rsid w:val="001B25F3"/>
    <w:rsid w:val="001B609B"/>
    <w:rsid w:val="001B678B"/>
    <w:rsid w:val="001C5396"/>
    <w:rsid w:val="001D16E8"/>
    <w:rsid w:val="001D20F4"/>
    <w:rsid w:val="001D44CF"/>
    <w:rsid w:val="001D48B2"/>
    <w:rsid w:val="001D48CE"/>
    <w:rsid w:val="001D7C23"/>
    <w:rsid w:val="001E0C8A"/>
    <w:rsid w:val="001E195E"/>
    <w:rsid w:val="001E27FF"/>
    <w:rsid w:val="001E3417"/>
    <w:rsid w:val="001E39A9"/>
    <w:rsid w:val="001E78DA"/>
    <w:rsid w:val="001F2DEB"/>
    <w:rsid w:val="001F596C"/>
    <w:rsid w:val="001F60BF"/>
    <w:rsid w:val="001F63A1"/>
    <w:rsid w:val="001F66FA"/>
    <w:rsid w:val="001F6D40"/>
    <w:rsid w:val="001F7506"/>
    <w:rsid w:val="001F75B4"/>
    <w:rsid w:val="00201102"/>
    <w:rsid w:val="00201720"/>
    <w:rsid w:val="00201C83"/>
    <w:rsid w:val="00203584"/>
    <w:rsid w:val="00211092"/>
    <w:rsid w:val="00212D31"/>
    <w:rsid w:val="00213622"/>
    <w:rsid w:val="002148B1"/>
    <w:rsid w:val="00214D12"/>
    <w:rsid w:val="00215A28"/>
    <w:rsid w:val="00221BB4"/>
    <w:rsid w:val="002229D4"/>
    <w:rsid w:val="00224661"/>
    <w:rsid w:val="00226335"/>
    <w:rsid w:val="00226825"/>
    <w:rsid w:val="00227127"/>
    <w:rsid w:val="0023050C"/>
    <w:rsid w:val="00231F04"/>
    <w:rsid w:val="00235BDA"/>
    <w:rsid w:val="00235C4E"/>
    <w:rsid w:val="00237026"/>
    <w:rsid w:val="0023722F"/>
    <w:rsid w:val="00237B41"/>
    <w:rsid w:val="002400B2"/>
    <w:rsid w:val="00242342"/>
    <w:rsid w:val="00244442"/>
    <w:rsid w:val="00244CC5"/>
    <w:rsid w:val="00244DFD"/>
    <w:rsid w:val="0024588A"/>
    <w:rsid w:val="00246A56"/>
    <w:rsid w:val="0025357F"/>
    <w:rsid w:val="002540A6"/>
    <w:rsid w:val="00254375"/>
    <w:rsid w:val="00256AF9"/>
    <w:rsid w:val="00256F1F"/>
    <w:rsid w:val="00260AAA"/>
    <w:rsid w:val="00263354"/>
    <w:rsid w:val="002638E7"/>
    <w:rsid w:val="00263BE2"/>
    <w:rsid w:val="00265725"/>
    <w:rsid w:val="002658CD"/>
    <w:rsid w:val="00266253"/>
    <w:rsid w:val="002668CB"/>
    <w:rsid w:val="00266BF2"/>
    <w:rsid w:val="00270547"/>
    <w:rsid w:val="00272AFE"/>
    <w:rsid w:val="0027329E"/>
    <w:rsid w:val="00274146"/>
    <w:rsid w:val="00274B3B"/>
    <w:rsid w:val="00276831"/>
    <w:rsid w:val="00276F57"/>
    <w:rsid w:val="00280F83"/>
    <w:rsid w:val="00282887"/>
    <w:rsid w:val="0028306B"/>
    <w:rsid w:val="002831F8"/>
    <w:rsid w:val="00286F34"/>
    <w:rsid w:val="002875EB"/>
    <w:rsid w:val="00290A78"/>
    <w:rsid w:val="002913E7"/>
    <w:rsid w:val="00291E86"/>
    <w:rsid w:val="002958CA"/>
    <w:rsid w:val="00297C20"/>
    <w:rsid w:val="002A0461"/>
    <w:rsid w:val="002A14BA"/>
    <w:rsid w:val="002A34D7"/>
    <w:rsid w:val="002A4D83"/>
    <w:rsid w:val="002A55AF"/>
    <w:rsid w:val="002B2E97"/>
    <w:rsid w:val="002B701E"/>
    <w:rsid w:val="002C18D8"/>
    <w:rsid w:val="002C1E87"/>
    <w:rsid w:val="002C2339"/>
    <w:rsid w:val="002C7E77"/>
    <w:rsid w:val="002D130B"/>
    <w:rsid w:val="002D1C98"/>
    <w:rsid w:val="002D30A5"/>
    <w:rsid w:val="002D5DE3"/>
    <w:rsid w:val="002D6DC4"/>
    <w:rsid w:val="002E074D"/>
    <w:rsid w:val="002E1EF7"/>
    <w:rsid w:val="002E4192"/>
    <w:rsid w:val="002E5819"/>
    <w:rsid w:val="002E5A9D"/>
    <w:rsid w:val="002E5F4F"/>
    <w:rsid w:val="002E6639"/>
    <w:rsid w:val="002E7F23"/>
    <w:rsid w:val="002F1D7C"/>
    <w:rsid w:val="002F4E36"/>
    <w:rsid w:val="002F7091"/>
    <w:rsid w:val="00300DF7"/>
    <w:rsid w:val="00302F2A"/>
    <w:rsid w:val="003032F7"/>
    <w:rsid w:val="00304DA6"/>
    <w:rsid w:val="003119CA"/>
    <w:rsid w:val="00313EF6"/>
    <w:rsid w:val="0031537C"/>
    <w:rsid w:val="00315529"/>
    <w:rsid w:val="00316DF4"/>
    <w:rsid w:val="00316F4B"/>
    <w:rsid w:val="00320E19"/>
    <w:rsid w:val="0032146A"/>
    <w:rsid w:val="00322006"/>
    <w:rsid w:val="00325518"/>
    <w:rsid w:val="003255B7"/>
    <w:rsid w:val="003259C4"/>
    <w:rsid w:val="00330230"/>
    <w:rsid w:val="00331AA9"/>
    <w:rsid w:val="003321D0"/>
    <w:rsid w:val="00334986"/>
    <w:rsid w:val="00336F0C"/>
    <w:rsid w:val="00344810"/>
    <w:rsid w:val="00344A7D"/>
    <w:rsid w:val="00347314"/>
    <w:rsid w:val="00350FFD"/>
    <w:rsid w:val="0035144C"/>
    <w:rsid w:val="00351C38"/>
    <w:rsid w:val="00355133"/>
    <w:rsid w:val="003565C0"/>
    <w:rsid w:val="003579AE"/>
    <w:rsid w:val="0036072B"/>
    <w:rsid w:val="00362677"/>
    <w:rsid w:val="00366552"/>
    <w:rsid w:val="00366803"/>
    <w:rsid w:val="00367379"/>
    <w:rsid w:val="00371AEC"/>
    <w:rsid w:val="0037228D"/>
    <w:rsid w:val="00372B54"/>
    <w:rsid w:val="00372D81"/>
    <w:rsid w:val="003760C9"/>
    <w:rsid w:val="003761B9"/>
    <w:rsid w:val="0037713C"/>
    <w:rsid w:val="00377939"/>
    <w:rsid w:val="003779A3"/>
    <w:rsid w:val="00383C3A"/>
    <w:rsid w:val="00384D19"/>
    <w:rsid w:val="00386D1A"/>
    <w:rsid w:val="0039018D"/>
    <w:rsid w:val="003907C2"/>
    <w:rsid w:val="00390AF1"/>
    <w:rsid w:val="00392F05"/>
    <w:rsid w:val="00394856"/>
    <w:rsid w:val="0039668F"/>
    <w:rsid w:val="00397921"/>
    <w:rsid w:val="003A0106"/>
    <w:rsid w:val="003A06DA"/>
    <w:rsid w:val="003A1CB5"/>
    <w:rsid w:val="003A31F1"/>
    <w:rsid w:val="003A3507"/>
    <w:rsid w:val="003A4086"/>
    <w:rsid w:val="003A5F43"/>
    <w:rsid w:val="003A6464"/>
    <w:rsid w:val="003A6F88"/>
    <w:rsid w:val="003B4B15"/>
    <w:rsid w:val="003B537C"/>
    <w:rsid w:val="003B66BE"/>
    <w:rsid w:val="003C482D"/>
    <w:rsid w:val="003C56A0"/>
    <w:rsid w:val="003C5A6B"/>
    <w:rsid w:val="003C5F7E"/>
    <w:rsid w:val="003C717C"/>
    <w:rsid w:val="003D1DAF"/>
    <w:rsid w:val="003D4880"/>
    <w:rsid w:val="003E22E4"/>
    <w:rsid w:val="003E3485"/>
    <w:rsid w:val="003E3D02"/>
    <w:rsid w:val="003E42B8"/>
    <w:rsid w:val="003E715C"/>
    <w:rsid w:val="003F0B81"/>
    <w:rsid w:val="003F359E"/>
    <w:rsid w:val="003F6801"/>
    <w:rsid w:val="003F7506"/>
    <w:rsid w:val="004002E6"/>
    <w:rsid w:val="00400BAB"/>
    <w:rsid w:val="00404763"/>
    <w:rsid w:val="0040635F"/>
    <w:rsid w:val="004073F4"/>
    <w:rsid w:val="00410B78"/>
    <w:rsid w:val="004118BD"/>
    <w:rsid w:val="00413117"/>
    <w:rsid w:val="00413788"/>
    <w:rsid w:val="00415076"/>
    <w:rsid w:val="004155A0"/>
    <w:rsid w:val="0041577A"/>
    <w:rsid w:val="00415CF6"/>
    <w:rsid w:val="00416465"/>
    <w:rsid w:val="004164F2"/>
    <w:rsid w:val="004173B0"/>
    <w:rsid w:val="0042109A"/>
    <w:rsid w:val="00423281"/>
    <w:rsid w:val="00424817"/>
    <w:rsid w:val="004249F5"/>
    <w:rsid w:val="004260D8"/>
    <w:rsid w:val="0043098A"/>
    <w:rsid w:val="00430CD2"/>
    <w:rsid w:val="00432340"/>
    <w:rsid w:val="0043334F"/>
    <w:rsid w:val="00433784"/>
    <w:rsid w:val="004338E1"/>
    <w:rsid w:val="00433F04"/>
    <w:rsid w:val="00433F39"/>
    <w:rsid w:val="004350D9"/>
    <w:rsid w:val="00435E93"/>
    <w:rsid w:val="00437802"/>
    <w:rsid w:val="00437810"/>
    <w:rsid w:val="004403E3"/>
    <w:rsid w:val="00442774"/>
    <w:rsid w:val="004448B1"/>
    <w:rsid w:val="00444EEB"/>
    <w:rsid w:val="00447558"/>
    <w:rsid w:val="004479E9"/>
    <w:rsid w:val="00450396"/>
    <w:rsid w:val="004523AE"/>
    <w:rsid w:val="00452490"/>
    <w:rsid w:val="00452B2F"/>
    <w:rsid w:val="00453E81"/>
    <w:rsid w:val="0045538A"/>
    <w:rsid w:val="00455447"/>
    <w:rsid w:val="004562F4"/>
    <w:rsid w:val="0045702A"/>
    <w:rsid w:val="00457373"/>
    <w:rsid w:val="00460229"/>
    <w:rsid w:val="004613CB"/>
    <w:rsid w:val="004620F6"/>
    <w:rsid w:val="00462591"/>
    <w:rsid w:val="004652BA"/>
    <w:rsid w:val="00467FAC"/>
    <w:rsid w:val="00471C75"/>
    <w:rsid w:val="00472335"/>
    <w:rsid w:val="0047437D"/>
    <w:rsid w:val="00474618"/>
    <w:rsid w:val="00475365"/>
    <w:rsid w:val="004773A8"/>
    <w:rsid w:val="0047788C"/>
    <w:rsid w:val="00485192"/>
    <w:rsid w:val="0048571E"/>
    <w:rsid w:val="0048767F"/>
    <w:rsid w:val="00490576"/>
    <w:rsid w:val="00491042"/>
    <w:rsid w:val="00492F8B"/>
    <w:rsid w:val="00494206"/>
    <w:rsid w:val="00494D23"/>
    <w:rsid w:val="0049516D"/>
    <w:rsid w:val="004977DD"/>
    <w:rsid w:val="004A5189"/>
    <w:rsid w:val="004A67B3"/>
    <w:rsid w:val="004A7FAB"/>
    <w:rsid w:val="004B153C"/>
    <w:rsid w:val="004B162F"/>
    <w:rsid w:val="004B560A"/>
    <w:rsid w:val="004B5D66"/>
    <w:rsid w:val="004B689B"/>
    <w:rsid w:val="004B7CB6"/>
    <w:rsid w:val="004C05A6"/>
    <w:rsid w:val="004C3AF2"/>
    <w:rsid w:val="004C7C70"/>
    <w:rsid w:val="004D0A81"/>
    <w:rsid w:val="004D6587"/>
    <w:rsid w:val="004D66FB"/>
    <w:rsid w:val="004E12D4"/>
    <w:rsid w:val="004E1310"/>
    <w:rsid w:val="004E1717"/>
    <w:rsid w:val="004E38DD"/>
    <w:rsid w:val="004E3BDE"/>
    <w:rsid w:val="004E51D1"/>
    <w:rsid w:val="004E5FFA"/>
    <w:rsid w:val="004E63F6"/>
    <w:rsid w:val="004E6973"/>
    <w:rsid w:val="004F244E"/>
    <w:rsid w:val="004F2A71"/>
    <w:rsid w:val="004F4706"/>
    <w:rsid w:val="004F6160"/>
    <w:rsid w:val="004F6615"/>
    <w:rsid w:val="005004D5"/>
    <w:rsid w:val="00500642"/>
    <w:rsid w:val="0050395F"/>
    <w:rsid w:val="00503E4A"/>
    <w:rsid w:val="00503E75"/>
    <w:rsid w:val="00504633"/>
    <w:rsid w:val="005051A2"/>
    <w:rsid w:val="005062C7"/>
    <w:rsid w:val="005064FA"/>
    <w:rsid w:val="005076BC"/>
    <w:rsid w:val="0050783E"/>
    <w:rsid w:val="0051008F"/>
    <w:rsid w:val="0051066C"/>
    <w:rsid w:val="00511628"/>
    <w:rsid w:val="00511FF7"/>
    <w:rsid w:val="00512902"/>
    <w:rsid w:val="0051325C"/>
    <w:rsid w:val="00513E0A"/>
    <w:rsid w:val="0051428D"/>
    <w:rsid w:val="0051653A"/>
    <w:rsid w:val="005202F8"/>
    <w:rsid w:val="005213FF"/>
    <w:rsid w:val="00523C79"/>
    <w:rsid w:val="005241C2"/>
    <w:rsid w:val="00525498"/>
    <w:rsid w:val="005260EA"/>
    <w:rsid w:val="00526F50"/>
    <w:rsid w:val="00527F29"/>
    <w:rsid w:val="00533801"/>
    <w:rsid w:val="00534331"/>
    <w:rsid w:val="0053565A"/>
    <w:rsid w:val="00535A8C"/>
    <w:rsid w:val="00537A9C"/>
    <w:rsid w:val="00540BC0"/>
    <w:rsid w:val="00541609"/>
    <w:rsid w:val="00543170"/>
    <w:rsid w:val="0054387D"/>
    <w:rsid w:val="0054622F"/>
    <w:rsid w:val="005464F8"/>
    <w:rsid w:val="00550FB1"/>
    <w:rsid w:val="00551658"/>
    <w:rsid w:val="005517B9"/>
    <w:rsid w:val="00551DB5"/>
    <w:rsid w:val="00552D72"/>
    <w:rsid w:val="00554047"/>
    <w:rsid w:val="005544EA"/>
    <w:rsid w:val="005550E8"/>
    <w:rsid w:val="00555BB3"/>
    <w:rsid w:val="005577CC"/>
    <w:rsid w:val="005601AE"/>
    <w:rsid w:val="0056027D"/>
    <w:rsid w:val="005610E4"/>
    <w:rsid w:val="00562FC3"/>
    <w:rsid w:val="00567394"/>
    <w:rsid w:val="005721CB"/>
    <w:rsid w:val="005727FD"/>
    <w:rsid w:val="00573BC2"/>
    <w:rsid w:val="0057758E"/>
    <w:rsid w:val="005775E3"/>
    <w:rsid w:val="00580458"/>
    <w:rsid w:val="00581956"/>
    <w:rsid w:val="00584BD8"/>
    <w:rsid w:val="0058570B"/>
    <w:rsid w:val="00587626"/>
    <w:rsid w:val="00590796"/>
    <w:rsid w:val="00592A1E"/>
    <w:rsid w:val="005977C6"/>
    <w:rsid w:val="00597E83"/>
    <w:rsid w:val="005A0875"/>
    <w:rsid w:val="005A160A"/>
    <w:rsid w:val="005A2BDB"/>
    <w:rsid w:val="005A3EF6"/>
    <w:rsid w:val="005B49F1"/>
    <w:rsid w:val="005B6351"/>
    <w:rsid w:val="005B79AA"/>
    <w:rsid w:val="005B7E37"/>
    <w:rsid w:val="005C030B"/>
    <w:rsid w:val="005C05D6"/>
    <w:rsid w:val="005C13D6"/>
    <w:rsid w:val="005C1C4A"/>
    <w:rsid w:val="005C48EC"/>
    <w:rsid w:val="005C52E7"/>
    <w:rsid w:val="005C5672"/>
    <w:rsid w:val="005C6F65"/>
    <w:rsid w:val="005C71B1"/>
    <w:rsid w:val="005D06E5"/>
    <w:rsid w:val="005D0B44"/>
    <w:rsid w:val="005D2C8F"/>
    <w:rsid w:val="005D2FB2"/>
    <w:rsid w:val="005D344A"/>
    <w:rsid w:val="005D4FDB"/>
    <w:rsid w:val="005D66DD"/>
    <w:rsid w:val="005E2EC3"/>
    <w:rsid w:val="005E30C5"/>
    <w:rsid w:val="005E364B"/>
    <w:rsid w:val="005E49BC"/>
    <w:rsid w:val="005F0CD5"/>
    <w:rsid w:val="005F1123"/>
    <w:rsid w:val="005F1AF6"/>
    <w:rsid w:val="005F28B0"/>
    <w:rsid w:val="005F43F8"/>
    <w:rsid w:val="005F5B72"/>
    <w:rsid w:val="005F7A7E"/>
    <w:rsid w:val="006003D9"/>
    <w:rsid w:val="00601ABD"/>
    <w:rsid w:val="00602A8D"/>
    <w:rsid w:val="006035A6"/>
    <w:rsid w:val="006035B0"/>
    <w:rsid w:val="0060491E"/>
    <w:rsid w:val="00606ED7"/>
    <w:rsid w:val="006078F8"/>
    <w:rsid w:val="0061046A"/>
    <w:rsid w:val="00610A5A"/>
    <w:rsid w:val="00610CBD"/>
    <w:rsid w:val="00613F11"/>
    <w:rsid w:val="00620E52"/>
    <w:rsid w:val="006220CF"/>
    <w:rsid w:val="0062293D"/>
    <w:rsid w:val="00622F75"/>
    <w:rsid w:val="00623427"/>
    <w:rsid w:val="00624BFD"/>
    <w:rsid w:val="00624FA4"/>
    <w:rsid w:val="0062706B"/>
    <w:rsid w:val="00632005"/>
    <w:rsid w:val="006347D5"/>
    <w:rsid w:val="006349F5"/>
    <w:rsid w:val="00634B0F"/>
    <w:rsid w:val="00636FA5"/>
    <w:rsid w:val="006376DA"/>
    <w:rsid w:val="00637991"/>
    <w:rsid w:val="00637BBD"/>
    <w:rsid w:val="006408A9"/>
    <w:rsid w:val="00640902"/>
    <w:rsid w:val="006412B7"/>
    <w:rsid w:val="00641800"/>
    <w:rsid w:val="006426C0"/>
    <w:rsid w:val="00642A0B"/>
    <w:rsid w:val="00643732"/>
    <w:rsid w:val="00650318"/>
    <w:rsid w:val="00653070"/>
    <w:rsid w:val="006537C6"/>
    <w:rsid w:val="0065559D"/>
    <w:rsid w:val="006567E8"/>
    <w:rsid w:val="006610F0"/>
    <w:rsid w:val="006617A8"/>
    <w:rsid w:val="00661BE4"/>
    <w:rsid w:val="006629A0"/>
    <w:rsid w:val="0066496A"/>
    <w:rsid w:val="006664F6"/>
    <w:rsid w:val="00667D1E"/>
    <w:rsid w:val="0067008C"/>
    <w:rsid w:val="00670CD3"/>
    <w:rsid w:val="006726A4"/>
    <w:rsid w:val="006727D6"/>
    <w:rsid w:val="00674DF2"/>
    <w:rsid w:val="00674F41"/>
    <w:rsid w:val="00677332"/>
    <w:rsid w:val="00681EF4"/>
    <w:rsid w:val="006822A2"/>
    <w:rsid w:val="0068647A"/>
    <w:rsid w:val="006875BA"/>
    <w:rsid w:val="00691062"/>
    <w:rsid w:val="00692396"/>
    <w:rsid w:val="00693451"/>
    <w:rsid w:val="00694D07"/>
    <w:rsid w:val="00697551"/>
    <w:rsid w:val="00697F11"/>
    <w:rsid w:val="006A22C7"/>
    <w:rsid w:val="006A2505"/>
    <w:rsid w:val="006A348E"/>
    <w:rsid w:val="006B0464"/>
    <w:rsid w:val="006B08A5"/>
    <w:rsid w:val="006B22D8"/>
    <w:rsid w:val="006B303D"/>
    <w:rsid w:val="006B30EB"/>
    <w:rsid w:val="006B315F"/>
    <w:rsid w:val="006B3D47"/>
    <w:rsid w:val="006B5469"/>
    <w:rsid w:val="006B579C"/>
    <w:rsid w:val="006B5970"/>
    <w:rsid w:val="006B5CBF"/>
    <w:rsid w:val="006C00FC"/>
    <w:rsid w:val="006C03F3"/>
    <w:rsid w:val="006C1CC8"/>
    <w:rsid w:val="006C561C"/>
    <w:rsid w:val="006C608E"/>
    <w:rsid w:val="006C6BCF"/>
    <w:rsid w:val="006C73BD"/>
    <w:rsid w:val="006D0882"/>
    <w:rsid w:val="006D0DAD"/>
    <w:rsid w:val="006D1A89"/>
    <w:rsid w:val="006D6672"/>
    <w:rsid w:val="006E0B85"/>
    <w:rsid w:val="006E0E01"/>
    <w:rsid w:val="006E145E"/>
    <w:rsid w:val="006F0729"/>
    <w:rsid w:val="006F1130"/>
    <w:rsid w:val="006F141B"/>
    <w:rsid w:val="006F22CB"/>
    <w:rsid w:val="006F32CF"/>
    <w:rsid w:val="006F373E"/>
    <w:rsid w:val="006F46CE"/>
    <w:rsid w:val="006F566B"/>
    <w:rsid w:val="007003F4"/>
    <w:rsid w:val="00701320"/>
    <w:rsid w:val="0070151B"/>
    <w:rsid w:val="007025A9"/>
    <w:rsid w:val="007029C1"/>
    <w:rsid w:val="00706E02"/>
    <w:rsid w:val="00707ABE"/>
    <w:rsid w:val="00710763"/>
    <w:rsid w:val="00717787"/>
    <w:rsid w:val="00717A66"/>
    <w:rsid w:val="00720640"/>
    <w:rsid w:val="00720D63"/>
    <w:rsid w:val="00721504"/>
    <w:rsid w:val="00722551"/>
    <w:rsid w:val="0072437C"/>
    <w:rsid w:val="00725CB6"/>
    <w:rsid w:val="00725F7F"/>
    <w:rsid w:val="00726C05"/>
    <w:rsid w:val="00727A2E"/>
    <w:rsid w:val="00727DF1"/>
    <w:rsid w:val="00727EC4"/>
    <w:rsid w:val="00730EDC"/>
    <w:rsid w:val="00734287"/>
    <w:rsid w:val="00734D75"/>
    <w:rsid w:val="00735C24"/>
    <w:rsid w:val="00736846"/>
    <w:rsid w:val="00736F81"/>
    <w:rsid w:val="00740D84"/>
    <w:rsid w:val="007432A8"/>
    <w:rsid w:val="007449FD"/>
    <w:rsid w:val="0075066D"/>
    <w:rsid w:val="007528A9"/>
    <w:rsid w:val="00753987"/>
    <w:rsid w:val="0075403B"/>
    <w:rsid w:val="00756C42"/>
    <w:rsid w:val="007613FE"/>
    <w:rsid w:val="00761FC8"/>
    <w:rsid w:val="00764D3D"/>
    <w:rsid w:val="00766754"/>
    <w:rsid w:val="00771C30"/>
    <w:rsid w:val="00771E91"/>
    <w:rsid w:val="007740FC"/>
    <w:rsid w:val="00774748"/>
    <w:rsid w:val="00776549"/>
    <w:rsid w:val="00777865"/>
    <w:rsid w:val="00777A12"/>
    <w:rsid w:val="0078073E"/>
    <w:rsid w:val="00780EBE"/>
    <w:rsid w:val="007824A1"/>
    <w:rsid w:val="00782B2C"/>
    <w:rsid w:val="00784EDD"/>
    <w:rsid w:val="00786DB1"/>
    <w:rsid w:val="00787529"/>
    <w:rsid w:val="00790CB7"/>
    <w:rsid w:val="007912F6"/>
    <w:rsid w:val="00791805"/>
    <w:rsid w:val="00794B4D"/>
    <w:rsid w:val="007952A9"/>
    <w:rsid w:val="00796CB5"/>
    <w:rsid w:val="00796E4C"/>
    <w:rsid w:val="007A04A6"/>
    <w:rsid w:val="007A12A7"/>
    <w:rsid w:val="007A2B76"/>
    <w:rsid w:val="007A32FA"/>
    <w:rsid w:val="007A3875"/>
    <w:rsid w:val="007A3BEB"/>
    <w:rsid w:val="007A577E"/>
    <w:rsid w:val="007A7866"/>
    <w:rsid w:val="007A7FBE"/>
    <w:rsid w:val="007B365F"/>
    <w:rsid w:val="007B4A7B"/>
    <w:rsid w:val="007B51D8"/>
    <w:rsid w:val="007B5548"/>
    <w:rsid w:val="007B6C93"/>
    <w:rsid w:val="007B7F2F"/>
    <w:rsid w:val="007C06A1"/>
    <w:rsid w:val="007C566A"/>
    <w:rsid w:val="007C58C1"/>
    <w:rsid w:val="007C691D"/>
    <w:rsid w:val="007C75B3"/>
    <w:rsid w:val="007D50AC"/>
    <w:rsid w:val="007D6383"/>
    <w:rsid w:val="007D6B0E"/>
    <w:rsid w:val="007E107A"/>
    <w:rsid w:val="007E43D9"/>
    <w:rsid w:val="007E485A"/>
    <w:rsid w:val="007E7188"/>
    <w:rsid w:val="007E7D55"/>
    <w:rsid w:val="007F2654"/>
    <w:rsid w:val="007F2CE0"/>
    <w:rsid w:val="007F3791"/>
    <w:rsid w:val="007F4E29"/>
    <w:rsid w:val="007F539A"/>
    <w:rsid w:val="007F549A"/>
    <w:rsid w:val="007F65F6"/>
    <w:rsid w:val="00800951"/>
    <w:rsid w:val="00800C7C"/>
    <w:rsid w:val="00801D13"/>
    <w:rsid w:val="00802D32"/>
    <w:rsid w:val="00804965"/>
    <w:rsid w:val="008055C8"/>
    <w:rsid w:val="008076F4"/>
    <w:rsid w:val="00810876"/>
    <w:rsid w:val="00811830"/>
    <w:rsid w:val="008140F7"/>
    <w:rsid w:val="00814CF5"/>
    <w:rsid w:val="00814F5B"/>
    <w:rsid w:val="00815CB2"/>
    <w:rsid w:val="0081687E"/>
    <w:rsid w:val="00817D7A"/>
    <w:rsid w:val="00820A6F"/>
    <w:rsid w:val="00823826"/>
    <w:rsid w:val="0083140A"/>
    <w:rsid w:val="00831EA4"/>
    <w:rsid w:val="00831F9A"/>
    <w:rsid w:val="0083215D"/>
    <w:rsid w:val="00834C74"/>
    <w:rsid w:val="0083631C"/>
    <w:rsid w:val="00836550"/>
    <w:rsid w:val="008365FB"/>
    <w:rsid w:val="00840285"/>
    <w:rsid w:val="00840866"/>
    <w:rsid w:val="00841296"/>
    <w:rsid w:val="00841750"/>
    <w:rsid w:val="00844F72"/>
    <w:rsid w:val="00845720"/>
    <w:rsid w:val="00846087"/>
    <w:rsid w:val="008479DD"/>
    <w:rsid w:val="008511FC"/>
    <w:rsid w:val="008546DF"/>
    <w:rsid w:val="00854A95"/>
    <w:rsid w:val="00854AA1"/>
    <w:rsid w:val="008601FE"/>
    <w:rsid w:val="008607B2"/>
    <w:rsid w:val="008607DE"/>
    <w:rsid w:val="00862495"/>
    <w:rsid w:val="00862D7B"/>
    <w:rsid w:val="00863EF6"/>
    <w:rsid w:val="00863F0D"/>
    <w:rsid w:val="0086548B"/>
    <w:rsid w:val="008665B8"/>
    <w:rsid w:val="00866D63"/>
    <w:rsid w:val="008718CB"/>
    <w:rsid w:val="00872729"/>
    <w:rsid w:val="008727BB"/>
    <w:rsid w:val="00873069"/>
    <w:rsid w:val="00875B8E"/>
    <w:rsid w:val="00877A29"/>
    <w:rsid w:val="00880E3B"/>
    <w:rsid w:val="00881098"/>
    <w:rsid w:val="00883531"/>
    <w:rsid w:val="00883C28"/>
    <w:rsid w:val="00885A9A"/>
    <w:rsid w:val="0089316B"/>
    <w:rsid w:val="00893F8A"/>
    <w:rsid w:val="00895BA3"/>
    <w:rsid w:val="0089686B"/>
    <w:rsid w:val="00897319"/>
    <w:rsid w:val="00897AA5"/>
    <w:rsid w:val="008A125E"/>
    <w:rsid w:val="008A407E"/>
    <w:rsid w:val="008A4A11"/>
    <w:rsid w:val="008A5D18"/>
    <w:rsid w:val="008A64AB"/>
    <w:rsid w:val="008A7197"/>
    <w:rsid w:val="008B074C"/>
    <w:rsid w:val="008C1834"/>
    <w:rsid w:val="008C2DC9"/>
    <w:rsid w:val="008C39AA"/>
    <w:rsid w:val="008C4F50"/>
    <w:rsid w:val="008C5D23"/>
    <w:rsid w:val="008C5E3E"/>
    <w:rsid w:val="008D16A9"/>
    <w:rsid w:val="008D26B7"/>
    <w:rsid w:val="008D3BD3"/>
    <w:rsid w:val="008D4041"/>
    <w:rsid w:val="008D4882"/>
    <w:rsid w:val="008D5608"/>
    <w:rsid w:val="008D68DA"/>
    <w:rsid w:val="008D69F7"/>
    <w:rsid w:val="008D701B"/>
    <w:rsid w:val="008E0992"/>
    <w:rsid w:val="008E0CB8"/>
    <w:rsid w:val="008E218D"/>
    <w:rsid w:val="008E2ADD"/>
    <w:rsid w:val="008E2CDE"/>
    <w:rsid w:val="008E2D17"/>
    <w:rsid w:val="008E31B7"/>
    <w:rsid w:val="008E4535"/>
    <w:rsid w:val="008F148E"/>
    <w:rsid w:val="008F2F3D"/>
    <w:rsid w:val="008F3B41"/>
    <w:rsid w:val="008F6CAC"/>
    <w:rsid w:val="008F6F0A"/>
    <w:rsid w:val="008F79E7"/>
    <w:rsid w:val="008F7DBB"/>
    <w:rsid w:val="00901388"/>
    <w:rsid w:val="00902776"/>
    <w:rsid w:val="00903199"/>
    <w:rsid w:val="0090394F"/>
    <w:rsid w:val="00904EDF"/>
    <w:rsid w:val="00905991"/>
    <w:rsid w:val="00907281"/>
    <w:rsid w:val="0091313E"/>
    <w:rsid w:val="009170ED"/>
    <w:rsid w:val="00920422"/>
    <w:rsid w:val="0092346B"/>
    <w:rsid w:val="00923A6E"/>
    <w:rsid w:val="00923C25"/>
    <w:rsid w:val="009253B4"/>
    <w:rsid w:val="00927DF4"/>
    <w:rsid w:val="009301AB"/>
    <w:rsid w:val="00931DD2"/>
    <w:rsid w:val="00933235"/>
    <w:rsid w:val="00934516"/>
    <w:rsid w:val="009346F3"/>
    <w:rsid w:val="00935473"/>
    <w:rsid w:val="00935F01"/>
    <w:rsid w:val="00936CD7"/>
    <w:rsid w:val="00940F5D"/>
    <w:rsid w:val="00943FED"/>
    <w:rsid w:val="00945CB9"/>
    <w:rsid w:val="0094602A"/>
    <w:rsid w:val="00947AED"/>
    <w:rsid w:val="00950540"/>
    <w:rsid w:val="009513E9"/>
    <w:rsid w:val="00952636"/>
    <w:rsid w:val="00952689"/>
    <w:rsid w:val="00955ED1"/>
    <w:rsid w:val="009576D3"/>
    <w:rsid w:val="00957925"/>
    <w:rsid w:val="00960BE0"/>
    <w:rsid w:val="00961420"/>
    <w:rsid w:val="00961B5B"/>
    <w:rsid w:val="00961CFB"/>
    <w:rsid w:val="009736AF"/>
    <w:rsid w:val="0097406A"/>
    <w:rsid w:val="00974185"/>
    <w:rsid w:val="009747FF"/>
    <w:rsid w:val="00976387"/>
    <w:rsid w:val="00976766"/>
    <w:rsid w:val="00976EFE"/>
    <w:rsid w:val="0098068E"/>
    <w:rsid w:val="00980D94"/>
    <w:rsid w:val="00980F41"/>
    <w:rsid w:val="00980F7E"/>
    <w:rsid w:val="009810E7"/>
    <w:rsid w:val="00981D62"/>
    <w:rsid w:val="00982E71"/>
    <w:rsid w:val="00987906"/>
    <w:rsid w:val="00990F7E"/>
    <w:rsid w:val="009932DB"/>
    <w:rsid w:val="009933D6"/>
    <w:rsid w:val="0099391A"/>
    <w:rsid w:val="0099424C"/>
    <w:rsid w:val="00994D2F"/>
    <w:rsid w:val="0099592C"/>
    <w:rsid w:val="009971F6"/>
    <w:rsid w:val="00997FF5"/>
    <w:rsid w:val="009A36D7"/>
    <w:rsid w:val="009A4203"/>
    <w:rsid w:val="009A450A"/>
    <w:rsid w:val="009A6138"/>
    <w:rsid w:val="009A69DE"/>
    <w:rsid w:val="009A762D"/>
    <w:rsid w:val="009B5D74"/>
    <w:rsid w:val="009C3CA6"/>
    <w:rsid w:val="009C45E4"/>
    <w:rsid w:val="009C6407"/>
    <w:rsid w:val="009C69E8"/>
    <w:rsid w:val="009D009F"/>
    <w:rsid w:val="009D0283"/>
    <w:rsid w:val="009D0DF3"/>
    <w:rsid w:val="009D0E7C"/>
    <w:rsid w:val="009D1C09"/>
    <w:rsid w:val="009D3357"/>
    <w:rsid w:val="009D5491"/>
    <w:rsid w:val="009D7550"/>
    <w:rsid w:val="009D7F4C"/>
    <w:rsid w:val="009E2456"/>
    <w:rsid w:val="009E26B5"/>
    <w:rsid w:val="009E4090"/>
    <w:rsid w:val="009E4930"/>
    <w:rsid w:val="009E4FBB"/>
    <w:rsid w:val="009E5B1F"/>
    <w:rsid w:val="009E6891"/>
    <w:rsid w:val="009E7C14"/>
    <w:rsid w:val="009F0FAA"/>
    <w:rsid w:val="009F1695"/>
    <w:rsid w:val="009F4FCE"/>
    <w:rsid w:val="009F62E4"/>
    <w:rsid w:val="009F75A5"/>
    <w:rsid w:val="00A0627D"/>
    <w:rsid w:val="00A0652D"/>
    <w:rsid w:val="00A070B1"/>
    <w:rsid w:val="00A10DEA"/>
    <w:rsid w:val="00A11692"/>
    <w:rsid w:val="00A12B62"/>
    <w:rsid w:val="00A136A7"/>
    <w:rsid w:val="00A17044"/>
    <w:rsid w:val="00A20820"/>
    <w:rsid w:val="00A26935"/>
    <w:rsid w:val="00A26DD2"/>
    <w:rsid w:val="00A277D9"/>
    <w:rsid w:val="00A315D3"/>
    <w:rsid w:val="00A32C15"/>
    <w:rsid w:val="00A335FE"/>
    <w:rsid w:val="00A34BAD"/>
    <w:rsid w:val="00A34EB9"/>
    <w:rsid w:val="00A34F72"/>
    <w:rsid w:val="00A37249"/>
    <w:rsid w:val="00A3749C"/>
    <w:rsid w:val="00A376A5"/>
    <w:rsid w:val="00A37A75"/>
    <w:rsid w:val="00A37D21"/>
    <w:rsid w:val="00A418EF"/>
    <w:rsid w:val="00A41CDC"/>
    <w:rsid w:val="00A42FF0"/>
    <w:rsid w:val="00A433E8"/>
    <w:rsid w:val="00A43DA5"/>
    <w:rsid w:val="00A451DA"/>
    <w:rsid w:val="00A452DB"/>
    <w:rsid w:val="00A46F81"/>
    <w:rsid w:val="00A47E69"/>
    <w:rsid w:val="00A50117"/>
    <w:rsid w:val="00A52804"/>
    <w:rsid w:val="00A54807"/>
    <w:rsid w:val="00A56800"/>
    <w:rsid w:val="00A56D50"/>
    <w:rsid w:val="00A6068C"/>
    <w:rsid w:val="00A60B0F"/>
    <w:rsid w:val="00A64E1D"/>
    <w:rsid w:val="00A64EC3"/>
    <w:rsid w:val="00A65030"/>
    <w:rsid w:val="00A66000"/>
    <w:rsid w:val="00A6783B"/>
    <w:rsid w:val="00A706B3"/>
    <w:rsid w:val="00A73E95"/>
    <w:rsid w:val="00A74667"/>
    <w:rsid w:val="00A77765"/>
    <w:rsid w:val="00A821F0"/>
    <w:rsid w:val="00A834B1"/>
    <w:rsid w:val="00A83E3D"/>
    <w:rsid w:val="00A85523"/>
    <w:rsid w:val="00A855CB"/>
    <w:rsid w:val="00A85F8A"/>
    <w:rsid w:val="00A862AC"/>
    <w:rsid w:val="00A90485"/>
    <w:rsid w:val="00A905C0"/>
    <w:rsid w:val="00A92207"/>
    <w:rsid w:val="00A92AA3"/>
    <w:rsid w:val="00A92AAB"/>
    <w:rsid w:val="00A966EA"/>
    <w:rsid w:val="00A97822"/>
    <w:rsid w:val="00AA27EB"/>
    <w:rsid w:val="00AA41E3"/>
    <w:rsid w:val="00AA45C0"/>
    <w:rsid w:val="00AA49DE"/>
    <w:rsid w:val="00AA5319"/>
    <w:rsid w:val="00AA7AE6"/>
    <w:rsid w:val="00AA7CEE"/>
    <w:rsid w:val="00AB07D7"/>
    <w:rsid w:val="00AB1377"/>
    <w:rsid w:val="00AB17EB"/>
    <w:rsid w:val="00AB53F2"/>
    <w:rsid w:val="00AB6600"/>
    <w:rsid w:val="00AB7049"/>
    <w:rsid w:val="00AB7204"/>
    <w:rsid w:val="00AB79DC"/>
    <w:rsid w:val="00AC3190"/>
    <w:rsid w:val="00AC449E"/>
    <w:rsid w:val="00AC4A03"/>
    <w:rsid w:val="00AC4C1C"/>
    <w:rsid w:val="00AC52FA"/>
    <w:rsid w:val="00AC59A8"/>
    <w:rsid w:val="00AC5AE2"/>
    <w:rsid w:val="00AC7896"/>
    <w:rsid w:val="00AD08ED"/>
    <w:rsid w:val="00AD3D2A"/>
    <w:rsid w:val="00AD6396"/>
    <w:rsid w:val="00AD6FE6"/>
    <w:rsid w:val="00AD7BBA"/>
    <w:rsid w:val="00AE29D2"/>
    <w:rsid w:val="00AE483F"/>
    <w:rsid w:val="00AF23A7"/>
    <w:rsid w:val="00AF3827"/>
    <w:rsid w:val="00AF5859"/>
    <w:rsid w:val="00B000EA"/>
    <w:rsid w:val="00B01EF0"/>
    <w:rsid w:val="00B02D35"/>
    <w:rsid w:val="00B0330B"/>
    <w:rsid w:val="00B06FB5"/>
    <w:rsid w:val="00B07929"/>
    <w:rsid w:val="00B07BFD"/>
    <w:rsid w:val="00B1028E"/>
    <w:rsid w:val="00B1034E"/>
    <w:rsid w:val="00B10570"/>
    <w:rsid w:val="00B11296"/>
    <w:rsid w:val="00B164C3"/>
    <w:rsid w:val="00B2138F"/>
    <w:rsid w:val="00B21886"/>
    <w:rsid w:val="00B225F2"/>
    <w:rsid w:val="00B2293A"/>
    <w:rsid w:val="00B22B10"/>
    <w:rsid w:val="00B237D7"/>
    <w:rsid w:val="00B24322"/>
    <w:rsid w:val="00B24D9A"/>
    <w:rsid w:val="00B25534"/>
    <w:rsid w:val="00B30D94"/>
    <w:rsid w:val="00B31993"/>
    <w:rsid w:val="00B32E66"/>
    <w:rsid w:val="00B34D43"/>
    <w:rsid w:val="00B35F1D"/>
    <w:rsid w:val="00B436E0"/>
    <w:rsid w:val="00B4504A"/>
    <w:rsid w:val="00B4710D"/>
    <w:rsid w:val="00B473B7"/>
    <w:rsid w:val="00B500F3"/>
    <w:rsid w:val="00B51881"/>
    <w:rsid w:val="00B51F7C"/>
    <w:rsid w:val="00B55397"/>
    <w:rsid w:val="00B5745D"/>
    <w:rsid w:val="00B57B7B"/>
    <w:rsid w:val="00B6323D"/>
    <w:rsid w:val="00B636C8"/>
    <w:rsid w:val="00B63B5E"/>
    <w:rsid w:val="00B646BA"/>
    <w:rsid w:val="00B65ADD"/>
    <w:rsid w:val="00B71F34"/>
    <w:rsid w:val="00B71FBC"/>
    <w:rsid w:val="00B723BB"/>
    <w:rsid w:val="00B7282E"/>
    <w:rsid w:val="00B73E1B"/>
    <w:rsid w:val="00B76F49"/>
    <w:rsid w:val="00B77591"/>
    <w:rsid w:val="00B822B4"/>
    <w:rsid w:val="00B852D9"/>
    <w:rsid w:val="00B855B7"/>
    <w:rsid w:val="00B8582B"/>
    <w:rsid w:val="00B868D8"/>
    <w:rsid w:val="00B904FA"/>
    <w:rsid w:val="00B90506"/>
    <w:rsid w:val="00B907B1"/>
    <w:rsid w:val="00B917A6"/>
    <w:rsid w:val="00B9191C"/>
    <w:rsid w:val="00B91A6B"/>
    <w:rsid w:val="00B94A18"/>
    <w:rsid w:val="00B94C4D"/>
    <w:rsid w:val="00B957D3"/>
    <w:rsid w:val="00B95F29"/>
    <w:rsid w:val="00B96728"/>
    <w:rsid w:val="00B969B2"/>
    <w:rsid w:val="00BA07DC"/>
    <w:rsid w:val="00BA1F65"/>
    <w:rsid w:val="00BA2610"/>
    <w:rsid w:val="00BA2C47"/>
    <w:rsid w:val="00BA3A6E"/>
    <w:rsid w:val="00BA46AE"/>
    <w:rsid w:val="00BA4BAA"/>
    <w:rsid w:val="00BA7578"/>
    <w:rsid w:val="00BB3848"/>
    <w:rsid w:val="00BB41B8"/>
    <w:rsid w:val="00BB4547"/>
    <w:rsid w:val="00BB4767"/>
    <w:rsid w:val="00BB538C"/>
    <w:rsid w:val="00BB6395"/>
    <w:rsid w:val="00BC0CB9"/>
    <w:rsid w:val="00BC35AE"/>
    <w:rsid w:val="00BC35D4"/>
    <w:rsid w:val="00BC5C6B"/>
    <w:rsid w:val="00BD0879"/>
    <w:rsid w:val="00BD5032"/>
    <w:rsid w:val="00BE3DD1"/>
    <w:rsid w:val="00BF0C3D"/>
    <w:rsid w:val="00BF3907"/>
    <w:rsid w:val="00BF459B"/>
    <w:rsid w:val="00BF52B2"/>
    <w:rsid w:val="00BF5E2B"/>
    <w:rsid w:val="00BF6035"/>
    <w:rsid w:val="00BF718B"/>
    <w:rsid w:val="00C02022"/>
    <w:rsid w:val="00C030DF"/>
    <w:rsid w:val="00C0402D"/>
    <w:rsid w:val="00C047FC"/>
    <w:rsid w:val="00C05CBB"/>
    <w:rsid w:val="00C07D2B"/>
    <w:rsid w:val="00C10B50"/>
    <w:rsid w:val="00C11DA6"/>
    <w:rsid w:val="00C15EC2"/>
    <w:rsid w:val="00C17941"/>
    <w:rsid w:val="00C2094C"/>
    <w:rsid w:val="00C22287"/>
    <w:rsid w:val="00C26BE3"/>
    <w:rsid w:val="00C26C73"/>
    <w:rsid w:val="00C26FF0"/>
    <w:rsid w:val="00C2772E"/>
    <w:rsid w:val="00C27C53"/>
    <w:rsid w:val="00C308BE"/>
    <w:rsid w:val="00C331F5"/>
    <w:rsid w:val="00C37151"/>
    <w:rsid w:val="00C37509"/>
    <w:rsid w:val="00C37A3C"/>
    <w:rsid w:val="00C37F92"/>
    <w:rsid w:val="00C42059"/>
    <w:rsid w:val="00C436CF"/>
    <w:rsid w:val="00C44031"/>
    <w:rsid w:val="00C45E09"/>
    <w:rsid w:val="00C50946"/>
    <w:rsid w:val="00C52512"/>
    <w:rsid w:val="00C530E8"/>
    <w:rsid w:val="00C57FB5"/>
    <w:rsid w:val="00C61A83"/>
    <w:rsid w:val="00C62A21"/>
    <w:rsid w:val="00C6659C"/>
    <w:rsid w:val="00C6737E"/>
    <w:rsid w:val="00C67FD2"/>
    <w:rsid w:val="00C704F5"/>
    <w:rsid w:val="00C7102C"/>
    <w:rsid w:val="00C7254F"/>
    <w:rsid w:val="00C72B35"/>
    <w:rsid w:val="00C73D68"/>
    <w:rsid w:val="00C76AFF"/>
    <w:rsid w:val="00C822D8"/>
    <w:rsid w:val="00C8283F"/>
    <w:rsid w:val="00C82CF5"/>
    <w:rsid w:val="00C82F30"/>
    <w:rsid w:val="00C83604"/>
    <w:rsid w:val="00C849DB"/>
    <w:rsid w:val="00C84D46"/>
    <w:rsid w:val="00C872E8"/>
    <w:rsid w:val="00C874F9"/>
    <w:rsid w:val="00C87E6F"/>
    <w:rsid w:val="00C90F76"/>
    <w:rsid w:val="00C9300F"/>
    <w:rsid w:val="00C95B98"/>
    <w:rsid w:val="00C9788E"/>
    <w:rsid w:val="00C97EC7"/>
    <w:rsid w:val="00CA3ACD"/>
    <w:rsid w:val="00CA3C19"/>
    <w:rsid w:val="00CA3FCC"/>
    <w:rsid w:val="00CA50BC"/>
    <w:rsid w:val="00CB131F"/>
    <w:rsid w:val="00CB160D"/>
    <w:rsid w:val="00CB1928"/>
    <w:rsid w:val="00CB2E9E"/>
    <w:rsid w:val="00CB3B69"/>
    <w:rsid w:val="00CB58D6"/>
    <w:rsid w:val="00CC49A9"/>
    <w:rsid w:val="00CC50CD"/>
    <w:rsid w:val="00CD1EE1"/>
    <w:rsid w:val="00CD3F98"/>
    <w:rsid w:val="00CD4396"/>
    <w:rsid w:val="00CD5F57"/>
    <w:rsid w:val="00CD6408"/>
    <w:rsid w:val="00CD76D4"/>
    <w:rsid w:val="00CE1CED"/>
    <w:rsid w:val="00CE4D66"/>
    <w:rsid w:val="00CE7596"/>
    <w:rsid w:val="00CF13C8"/>
    <w:rsid w:val="00CF15AA"/>
    <w:rsid w:val="00CF3074"/>
    <w:rsid w:val="00CF3B30"/>
    <w:rsid w:val="00CF4E64"/>
    <w:rsid w:val="00D003D2"/>
    <w:rsid w:val="00D02931"/>
    <w:rsid w:val="00D047C8"/>
    <w:rsid w:val="00D06EE5"/>
    <w:rsid w:val="00D07F07"/>
    <w:rsid w:val="00D10111"/>
    <w:rsid w:val="00D109A7"/>
    <w:rsid w:val="00D12103"/>
    <w:rsid w:val="00D134BE"/>
    <w:rsid w:val="00D1519F"/>
    <w:rsid w:val="00D15CF5"/>
    <w:rsid w:val="00D231A1"/>
    <w:rsid w:val="00D246C4"/>
    <w:rsid w:val="00D25938"/>
    <w:rsid w:val="00D30E24"/>
    <w:rsid w:val="00D31005"/>
    <w:rsid w:val="00D31A66"/>
    <w:rsid w:val="00D3275A"/>
    <w:rsid w:val="00D3427F"/>
    <w:rsid w:val="00D36E22"/>
    <w:rsid w:val="00D37748"/>
    <w:rsid w:val="00D37FC5"/>
    <w:rsid w:val="00D408F8"/>
    <w:rsid w:val="00D44AD8"/>
    <w:rsid w:val="00D45AC9"/>
    <w:rsid w:val="00D46EB2"/>
    <w:rsid w:val="00D52A82"/>
    <w:rsid w:val="00D54F03"/>
    <w:rsid w:val="00D56393"/>
    <w:rsid w:val="00D569A9"/>
    <w:rsid w:val="00D57B8E"/>
    <w:rsid w:val="00D64D13"/>
    <w:rsid w:val="00D655EE"/>
    <w:rsid w:val="00D77111"/>
    <w:rsid w:val="00D802D8"/>
    <w:rsid w:val="00D80E91"/>
    <w:rsid w:val="00D8177A"/>
    <w:rsid w:val="00D87B9A"/>
    <w:rsid w:val="00D9420C"/>
    <w:rsid w:val="00D944E5"/>
    <w:rsid w:val="00D96E4F"/>
    <w:rsid w:val="00D97A51"/>
    <w:rsid w:val="00D97FD3"/>
    <w:rsid w:val="00DA2AEF"/>
    <w:rsid w:val="00DA2FAD"/>
    <w:rsid w:val="00DA3FFE"/>
    <w:rsid w:val="00DA4A8F"/>
    <w:rsid w:val="00DA60A4"/>
    <w:rsid w:val="00DA68FE"/>
    <w:rsid w:val="00DA7890"/>
    <w:rsid w:val="00DB26E3"/>
    <w:rsid w:val="00DB5658"/>
    <w:rsid w:val="00DB795A"/>
    <w:rsid w:val="00DC5174"/>
    <w:rsid w:val="00DD0C62"/>
    <w:rsid w:val="00DD1689"/>
    <w:rsid w:val="00DD1F10"/>
    <w:rsid w:val="00DD2E0E"/>
    <w:rsid w:val="00DD3F2C"/>
    <w:rsid w:val="00DD5056"/>
    <w:rsid w:val="00DE1C26"/>
    <w:rsid w:val="00DE23D8"/>
    <w:rsid w:val="00DE3520"/>
    <w:rsid w:val="00DE4670"/>
    <w:rsid w:val="00DE4B17"/>
    <w:rsid w:val="00DF008E"/>
    <w:rsid w:val="00DF228C"/>
    <w:rsid w:val="00DF4A2C"/>
    <w:rsid w:val="00DF50BA"/>
    <w:rsid w:val="00DF650E"/>
    <w:rsid w:val="00E0220F"/>
    <w:rsid w:val="00E026BD"/>
    <w:rsid w:val="00E03AD3"/>
    <w:rsid w:val="00E04366"/>
    <w:rsid w:val="00E0726F"/>
    <w:rsid w:val="00E1084C"/>
    <w:rsid w:val="00E12778"/>
    <w:rsid w:val="00E154BA"/>
    <w:rsid w:val="00E16BD3"/>
    <w:rsid w:val="00E20AAC"/>
    <w:rsid w:val="00E2151A"/>
    <w:rsid w:val="00E23A76"/>
    <w:rsid w:val="00E23B93"/>
    <w:rsid w:val="00E25216"/>
    <w:rsid w:val="00E2586C"/>
    <w:rsid w:val="00E25933"/>
    <w:rsid w:val="00E25E5B"/>
    <w:rsid w:val="00E26B20"/>
    <w:rsid w:val="00E27A4A"/>
    <w:rsid w:val="00E27A5D"/>
    <w:rsid w:val="00E27E7A"/>
    <w:rsid w:val="00E309B2"/>
    <w:rsid w:val="00E31FFA"/>
    <w:rsid w:val="00E331EB"/>
    <w:rsid w:val="00E33F9B"/>
    <w:rsid w:val="00E3499D"/>
    <w:rsid w:val="00E40915"/>
    <w:rsid w:val="00E41164"/>
    <w:rsid w:val="00E45267"/>
    <w:rsid w:val="00E47053"/>
    <w:rsid w:val="00E50994"/>
    <w:rsid w:val="00E51507"/>
    <w:rsid w:val="00E5293B"/>
    <w:rsid w:val="00E54D59"/>
    <w:rsid w:val="00E55174"/>
    <w:rsid w:val="00E5568E"/>
    <w:rsid w:val="00E561C9"/>
    <w:rsid w:val="00E573AA"/>
    <w:rsid w:val="00E60B49"/>
    <w:rsid w:val="00E60BFA"/>
    <w:rsid w:val="00E61657"/>
    <w:rsid w:val="00E661A3"/>
    <w:rsid w:val="00E665FD"/>
    <w:rsid w:val="00E701A8"/>
    <w:rsid w:val="00E72863"/>
    <w:rsid w:val="00E72F54"/>
    <w:rsid w:val="00E747A8"/>
    <w:rsid w:val="00E77D8F"/>
    <w:rsid w:val="00E82B6F"/>
    <w:rsid w:val="00E85046"/>
    <w:rsid w:val="00E8708C"/>
    <w:rsid w:val="00E87114"/>
    <w:rsid w:val="00E87649"/>
    <w:rsid w:val="00E87663"/>
    <w:rsid w:val="00E91E34"/>
    <w:rsid w:val="00E96716"/>
    <w:rsid w:val="00E9728F"/>
    <w:rsid w:val="00EA0C9C"/>
    <w:rsid w:val="00EA13B8"/>
    <w:rsid w:val="00EA13E1"/>
    <w:rsid w:val="00EA36FC"/>
    <w:rsid w:val="00EA5A64"/>
    <w:rsid w:val="00EA5C18"/>
    <w:rsid w:val="00EB07FB"/>
    <w:rsid w:val="00EB0942"/>
    <w:rsid w:val="00EB345C"/>
    <w:rsid w:val="00EB3831"/>
    <w:rsid w:val="00EB54C3"/>
    <w:rsid w:val="00EC03F7"/>
    <w:rsid w:val="00EC1E32"/>
    <w:rsid w:val="00EC42FB"/>
    <w:rsid w:val="00EC5B05"/>
    <w:rsid w:val="00ED2EA1"/>
    <w:rsid w:val="00ED401F"/>
    <w:rsid w:val="00ED45B5"/>
    <w:rsid w:val="00ED613C"/>
    <w:rsid w:val="00ED6668"/>
    <w:rsid w:val="00EE029E"/>
    <w:rsid w:val="00EE5457"/>
    <w:rsid w:val="00EE6199"/>
    <w:rsid w:val="00EE7C67"/>
    <w:rsid w:val="00EF1781"/>
    <w:rsid w:val="00EF1C09"/>
    <w:rsid w:val="00EF2AEA"/>
    <w:rsid w:val="00EF3E2F"/>
    <w:rsid w:val="00EF514C"/>
    <w:rsid w:val="00EF54BD"/>
    <w:rsid w:val="00EF6590"/>
    <w:rsid w:val="00EF7F57"/>
    <w:rsid w:val="00F033D5"/>
    <w:rsid w:val="00F05AEE"/>
    <w:rsid w:val="00F07169"/>
    <w:rsid w:val="00F07184"/>
    <w:rsid w:val="00F07DF7"/>
    <w:rsid w:val="00F10E64"/>
    <w:rsid w:val="00F208E3"/>
    <w:rsid w:val="00F21AA2"/>
    <w:rsid w:val="00F21EC3"/>
    <w:rsid w:val="00F22B13"/>
    <w:rsid w:val="00F24298"/>
    <w:rsid w:val="00F25439"/>
    <w:rsid w:val="00F27E8A"/>
    <w:rsid w:val="00F31352"/>
    <w:rsid w:val="00F34D76"/>
    <w:rsid w:val="00F35E92"/>
    <w:rsid w:val="00F36372"/>
    <w:rsid w:val="00F40DEB"/>
    <w:rsid w:val="00F41C43"/>
    <w:rsid w:val="00F42D12"/>
    <w:rsid w:val="00F4408E"/>
    <w:rsid w:val="00F504A3"/>
    <w:rsid w:val="00F5099B"/>
    <w:rsid w:val="00F509B9"/>
    <w:rsid w:val="00F51ED0"/>
    <w:rsid w:val="00F52099"/>
    <w:rsid w:val="00F533A7"/>
    <w:rsid w:val="00F5486A"/>
    <w:rsid w:val="00F54B0E"/>
    <w:rsid w:val="00F55100"/>
    <w:rsid w:val="00F553EE"/>
    <w:rsid w:val="00F61A33"/>
    <w:rsid w:val="00F73DDD"/>
    <w:rsid w:val="00F761E3"/>
    <w:rsid w:val="00F76EFD"/>
    <w:rsid w:val="00F80F7C"/>
    <w:rsid w:val="00F81B69"/>
    <w:rsid w:val="00F82939"/>
    <w:rsid w:val="00F82EF8"/>
    <w:rsid w:val="00F82FB5"/>
    <w:rsid w:val="00F830E1"/>
    <w:rsid w:val="00F83514"/>
    <w:rsid w:val="00F83D28"/>
    <w:rsid w:val="00F840F7"/>
    <w:rsid w:val="00F86AD0"/>
    <w:rsid w:val="00F86DEC"/>
    <w:rsid w:val="00F87030"/>
    <w:rsid w:val="00F8735E"/>
    <w:rsid w:val="00F9151B"/>
    <w:rsid w:val="00F91870"/>
    <w:rsid w:val="00F962B9"/>
    <w:rsid w:val="00F96965"/>
    <w:rsid w:val="00F96FC8"/>
    <w:rsid w:val="00F97951"/>
    <w:rsid w:val="00FA17C8"/>
    <w:rsid w:val="00FA186B"/>
    <w:rsid w:val="00FA294A"/>
    <w:rsid w:val="00FA4F0E"/>
    <w:rsid w:val="00FA6869"/>
    <w:rsid w:val="00FB06EB"/>
    <w:rsid w:val="00FB0B0A"/>
    <w:rsid w:val="00FB2D34"/>
    <w:rsid w:val="00FB3234"/>
    <w:rsid w:val="00FB6859"/>
    <w:rsid w:val="00FB6B8F"/>
    <w:rsid w:val="00FB70C5"/>
    <w:rsid w:val="00FC070D"/>
    <w:rsid w:val="00FC0B98"/>
    <w:rsid w:val="00FC0FBE"/>
    <w:rsid w:val="00FC3E77"/>
    <w:rsid w:val="00FC4DB9"/>
    <w:rsid w:val="00FC5929"/>
    <w:rsid w:val="00FC6E64"/>
    <w:rsid w:val="00FC7641"/>
    <w:rsid w:val="00FD122B"/>
    <w:rsid w:val="00FD1F5E"/>
    <w:rsid w:val="00FD41CF"/>
    <w:rsid w:val="00FD7368"/>
    <w:rsid w:val="00FE304F"/>
    <w:rsid w:val="00FE3AC4"/>
    <w:rsid w:val="00FE5AE5"/>
    <w:rsid w:val="00FE6432"/>
    <w:rsid w:val="00FF1188"/>
    <w:rsid w:val="00FF16F5"/>
    <w:rsid w:val="00FF5B83"/>
    <w:rsid w:val="00FF5F1A"/>
    <w:rsid w:val="017460A8"/>
    <w:rsid w:val="07DE62F4"/>
    <w:rsid w:val="089B216C"/>
    <w:rsid w:val="0EA16002"/>
    <w:rsid w:val="106634B1"/>
    <w:rsid w:val="128123D2"/>
    <w:rsid w:val="12D93FBD"/>
    <w:rsid w:val="13385187"/>
    <w:rsid w:val="13E51505"/>
    <w:rsid w:val="14151024"/>
    <w:rsid w:val="17C36FE9"/>
    <w:rsid w:val="18B36492"/>
    <w:rsid w:val="18E34591"/>
    <w:rsid w:val="191F46F3"/>
    <w:rsid w:val="1978041D"/>
    <w:rsid w:val="198F5BBE"/>
    <w:rsid w:val="1C2F10F1"/>
    <w:rsid w:val="290C6A42"/>
    <w:rsid w:val="2E41427B"/>
    <w:rsid w:val="2FEB135D"/>
    <w:rsid w:val="30A13F14"/>
    <w:rsid w:val="31DD71CE"/>
    <w:rsid w:val="32F10A57"/>
    <w:rsid w:val="38352B62"/>
    <w:rsid w:val="388F1DD7"/>
    <w:rsid w:val="39A131D7"/>
    <w:rsid w:val="3B8F0003"/>
    <w:rsid w:val="3BE13D5E"/>
    <w:rsid w:val="3C304D17"/>
    <w:rsid w:val="43BD0C0D"/>
    <w:rsid w:val="43F108B7"/>
    <w:rsid w:val="45850678"/>
    <w:rsid w:val="45A100BA"/>
    <w:rsid w:val="4AB0110C"/>
    <w:rsid w:val="4B521983"/>
    <w:rsid w:val="4CCF19B1"/>
    <w:rsid w:val="4D07114B"/>
    <w:rsid w:val="56DB13EB"/>
    <w:rsid w:val="574B60D8"/>
    <w:rsid w:val="57D305A7"/>
    <w:rsid w:val="590E560F"/>
    <w:rsid w:val="59261B4F"/>
    <w:rsid w:val="59D550FB"/>
    <w:rsid w:val="5C904CB9"/>
    <w:rsid w:val="5CB5471F"/>
    <w:rsid w:val="5F155949"/>
    <w:rsid w:val="5F6025AE"/>
    <w:rsid w:val="6333694F"/>
    <w:rsid w:val="656B4B28"/>
    <w:rsid w:val="685968A7"/>
    <w:rsid w:val="6F58419C"/>
    <w:rsid w:val="6FEC4AAF"/>
    <w:rsid w:val="71BC14A7"/>
    <w:rsid w:val="72196925"/>
    <w:rsid w:val="72852D8A"/>
    <w:rsid w:val="730218E9"/>
    <w:rsid w:val="742E30C3"/>
    <w:rsid w:val="746F71A4"/>
    <w:rsid w:val="74DB6895"/>
    <w:rsid w:val="75CB1FD1"/>
    <w:rsid w:val="7CA0289E"/>
    <w:rsid w:val="7D7653AD"/>
    <w:rsid w:val="7F9A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fr-BE" w:bidi="ar-SA"/>
    </w:rPr>
  </w:style>
  <w:style w:type="paragraph" w:styleId="2">
    <w:name w:val="heading 1"/>
    <w:basedOn w:val="1"/>
    <w:next w:val="1"/>
    <w:link w:val="92"/>
    <w:qFormat/>
    <w:uiPriority w:val="0"/>
    <w:pPr>
      <w:keepNext/>
      <w:tabs>
        <w:tab w:val="left" w:pos="709"/>
        <w:tab w:val="left" w:pos="1418"/>
        <w:tab w:val="left" w:pos="2127"/>
      </w:tabs>
      <w:spacing w:before="500" w:after="120" w:line="360" w:lineRule="auto"/>
      <w:jc w:val="both"/>
      <w:outlineLvl w:val="0"/>
    </w:pPr>
    <w:rPr>
      <w:rFonts w:ascii="Arial" w:hAnsi="Arial" w:cs="Arial"/>
      <w:b/>
      <w:bCs/>
      <w:caps/>
      <w:sz w:val="24"/>
      <w:szCs w:val="22"/>
      <w:u w:val="single"/>
    </w:rPr>
  </w:style>
  <w:style w:type="paragraph" w:styleId="3">
    <w:name w:val="heading 2"/>
    <w:basedOn w:val="1"/>
    <w:next w:val="1"/>
    <w:link w:val="87"/>
    <w:qFormat/>
    <w:uiPriority w:val="0"/>
    <w:pPr>
      <w:tabs>
        <w:tab w:val="left" w:pos="624"/>
        <w:tab w:val="left" w:pos="2268"/>
      </w:tabs>
      <w:spacing w:after="120" w:line="360" w:lineRule="auto"/>
      <w:jc w:val="both"/>
      <w:outlineLvl w:val="1"/>
    </w:pPr>
    <w:rPr>
      <w:rFonts w:ascii="Arial" w:hAnsi="Arial" w:cs="Arial"/>
      <w:bCs/>
      <w:sz w:val="22"/>
      <w:szCs w:val="18"/>
    </w:rPr>
  </w:style>
  <w:style w:type="paragraph" w:styleId="4">
    <w:name w:val="heading 3"/>
    <w:basedOn w:val="1"/>
    <w:next w:val="1"/>
    <w:qFormat/>
    <w:uiPriority w:val="0"/>
    <w:pPr>
      <w:numPr>
        <w:ilvl w:val="0"/>
        <w:numId w:val="1"/>
      </w:numPr>
      <w:outlineLvl w:val="2"/>
    </w:pPr>
    <w:rPr>
      <w:rFonts w:ascii="Arial" w:hAnsi="Arial" w:cs="Arial"/>
      <w:b/>
      <w:sz w:val="24"/>
      <w:szCs w:val="24"/>
      <w:u w:val="single"/>
      <w:lang w:val="en-US"/>
    </w:rPr>
  </w:style>
  <w:style w:type="paragraph" w:styleId="5">
    <w:name w:val="heading 4"/>
    <w:basedOn w:val="3"/>
    <w:next w:val="1"/>
    <w:qFormat/>
    <w:uiPriority w:val="0"/>
    <w:pPr>
      <w:numPr>
        <w:ilvl w:val="0"/>
        <w:numId w:val="2"/>
      </w:numPr>
      <w:outlineLvl w:val="3"/>
    </w:pPr>
    <w:rPr>
      <w:snapToGrid w:val="0"/>
      <w:lang w:val="en-US" w:eastAsia="en-US"/>
    </w:rPr>
  </w:style>
  <w:style w:type="paragraph" w:styleId="6">
    <w:name w:val="heading 5"/>
    <w:basedOn w:val="5"/>
    <w:next w:val="1"/>
    <w:qFormat/>
    <w:uiPriority w:val="0"/>
    <w:pPr>
      <w:numPr>
        <w:numId w:val="3"/>
      </w:numPr>
      <w:ind w:left="1276"/>
      <w:outlineLvl w:val="4"/>
    </w:pPr>
  </w:style>
  <w:style w:type="paragraph" w:styleId="7">
    <w:name w:val="heading 6"/>
    <w:basedOn w:val="1"/>
    <w:next w:val="1"/>
    <w:qFormat/>
    <w:uiPriority w:val="0"/>
    <w:pPr>
      <w:numPr>
        <w:ilvl w:val="5"/>
        <w:numId w:val="1"/>
      </w:numPr>
      <w:spacing w:before="240" w:after="60"/>
      <w:outlineLvl w:val="5"/>
    </w:pPr>
    <w:rPr>
      <w:b/>
      <w:bCs/>
      <w:sz w:val="22"/>
      <w:szCs w:val="22"/>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pPr>
    <w:rPr>
      <w:lang w:val="en-US" w:eastAsia="en-US"/>
    </w:rPr>
  </w:style>
  <w:style w:type="paragraph" w:styleId="12">
    <w:name w:val="List Number"/>
    <w:basedOn w:val="1"/>
    <w:qFormat/>
    <w:uiPriority w:val="99"/>
    <w:pPr>
      <w:numPr>
        <w:ilvl w:val="0"/>
        <w:numId w:val="4"/>
      </w:numPr>
      <w:spacing w:after="240"/>
    </w:pPr>
    <w:rPr>
      <w:sz w:val="24"/>
      <w:szCs w:val="24"/>
      <w:lang w:val="en-US" w:eastAsia="en-US"/>
    </w:rPr>
  </w:style>
  <w:style w:type="paragraph" w:styleId="13">
    <w:name w:val="Document Map"/>
    <w:basedOn w:val="1"/>
    <w:link w:val="84"/>
    <w:qFormat/>
    <w:uiPriority w:val="99"/>
    <w:pPr>
      <w:shd w:val="clear" w:color="auto" w:fill="000080"/>
    </w:pPr>
    <w:rPr>
      <w:rFonts w:ascii="Tahoma" w:hAnsi="Tahoma" w:cs="Tahoma"/>
      <w:lang w:val="en-US" w:eastAsia="en-US"/>
    </w:rPr>
  </w:style>
  <w:style w:type="paragraph" w:styleId="14">
    <w:name w:val="toa heading"/>
    <w:basedOn w:val="1"/>
    <w:next w:val="1"/>
    <w:semiHidden/>
    <w:qFormat/>
    <w:uiPriority w:val="0"/>
    <w:pPr>
      <w:widowControl w:val="0"/>
      <w:tabs>
        <w:tab w:val="right" w:pos="9360"/>
      </w:tabs>
      <w:suppressAutoHyphens/>
    </w:pPr>
    <w:rPr>
      <w:rFonts w:ascii="Courier" w:hAnsi="Courier" w:cs="Courier"/>
      <w:lang w:val="en-US" w:eastAsia="en-US"/>
    </w:rPr>
  </w:style>
  <w:style w:type="paragraph" w:styleId="15">
    <w:name w:val="annotation text"/>
    <w:basedOn w:val="1"/>
    <w:link w:val="78"/>
    <w:qFormat/>
    <w:uiPriority w:val="99"/>
  </w:style>
  <w:style w:type="paragraph" w:styleId="16">
    <w:name w:val="Body Text 3"/>
    <w:basedOn w:val="1"/>
    <w:link w:val="81"/>
    <w:qFormat/>
    <w:uiPriority w:val="0"/>
    <w:pPr>
      <w:tabs>
        <w:tab w:val="left" w:pos="244"/>
      </w:tabs>
    </w:pPr>
    <w:rPr>
      <w:rFonts w:ascii="Arial" w:hAnsi="Arial"/>
      <w:color w:val="000000"/>
      <w:lang w:val="en-US" w:eastAsia="en-US"/>
    </w:rPr>
  </w:style>
  <w:style w:type="paragraph" w:styleId="17">
    <w:name w:val="Body Text"/>
    <w:basedOn w:val="1"/>
    <w:link w:val="46"/>
    <w:qFormat/>
    <w:uiPriority w:val="0"/>
    <w:pPr>
      <w:spacing w:line="360" w:lineRule="auto"/>
      <w:jc w:val="both"/>
    </w:pPr>
    <w:rPr>
      <w:rFonts w:ascii="Arial" w:hAnsi="Arial" w:cs="Arial"/>
      <w:sz w:val="24"/>
      <w:szCs w:val="24"/>
    </w:rPr>
  </w:style>
  <w:style w:type="paragraph" w:styleId="18">
    <w:name w:val="Body Text Indent"/>
    <w:basedOn w:val="1"/>
    <w:qFormat/>
    <w:uiPriority w:val="0"/>
    <w:pPr>
      <w:tabs>
        <w:tab w:val="left" w:pos="709"/>
        <w:tab w:val="left" w:pos="1418"/>
        <w:tab w:val="left" w:pos="2127"/>
      </w:tabs>
      <w:spacing w:line="360" w:lineRule="auto"/>
      <w:ind w:left="709" w:hanging="709"/>
      <w:jc w:val="both"/>
    </w:pPr>
    <w:rPr>
      <w:rFonts w:ascii="Arial" w:hAnsi="Arial" w:cs="Arial"/>
      <w:sz w:val="24"/>
      <w:szCs w:val="24"/>
    </w:rPr>
  </w:style>
  <w:style w:type="paragraph" w:styleId="19">
    <w:name w:val="toc 5"/>
    <w:basedOn w:val="1"/>
    <w:next w:val="1"/>
    <w:qFormat/>
    <w:uiPriority w:val="0"/>
    <w:pPr>
      <w:ind w:left="800"/>
    </w:pPr>
    <w:rPr>
      <w:lang w:val="en-US" w:eastAsia="en-US"/>
    </w:rPr>
  </w:style>
  <w:style w:type="paragraph" w:styleId="20">
    <w:name w:val="toc 3"/>
    <w:basedOn w:val="1"/>
    <w:next w:val="1"/>
    <w:qFormat/>
    <w:uiPriority w:val="0"/>
    <w:pPr>
      <w:ind w:left="400"/>
    </w:pPr>
    <w:rPr>
      <w:lang w:val="en-US" w:eastAsia="en-US"/>
    </w:rPr>
  </w:style>
  <w:style w:type="paragraph" w:styleId="21">
    <w:name w:val="toc 8"/>
    <w:basedOn w:val="1"/>
    <w:next w:val="1"/>
    <w:qFormat/>
    <w:uiPriority w:val="0"/>
    <w:pPr>
      <w:ind w:left="1400"/>
    </w:pPr>
    <w:rPr>
      <w:lang w:val="en-US" w:eastAsia="en-US"/>
    </w:rPr>
  </w:style>
  <w:style w:type="paragraph" w:styleId="22">
    <w:name w:val="Body Text Indent 2"/>
    <w:basedOn w:val="1"/>
    <w:qFormat/>
    <w:uiPriority w:val="0"/>
    <w:pPr>
      <w:tabs>
        <w:tab w:val="left" w:pos="709"/>
        <w:tab w:val="left" w:pos="1418"/>
        <w:tab w:val="left" w:pos="2127"/>
      </w:tabs>
      <w:spacing w:line="360" w:lineRule="auto"/>
      <w:ind w:left="709"/>
      <w:jc w:val="both"/>
    </w:pPr>
    <w:rPr>
      <w:rFonts w:ascii="Arial" w:hAnsi="Arial" w:cs="Arial"/>
      <w:sz w:val="24"/>
      <w:szCs w:val="24"/>
    </w:rPr>
  </w:style>
  <w:style w:type="paragraph" w:styleId="23">
    <w:name w:val="Balloon Text"/>
    <w:basedOn w:val="1"/>
    <w:link w:val="89"/>
    <w:semiHidden/>
    <w:qFormat/>
    <w:uiPriority w:val="99"/>
    <w:rPr>
      <w:rFonts w:ascii="Tahoma" w:hAnsi="Tahoma" w:cs="Tahoma"/>
      <w:sz w:val="16"/>
      <w:szCs w:val="16"/>
    </w:rPr>
  </w:style>
  <w:style w:type="paragraph" w:styleId="24">
    <w:name w:val="footer"/>
    <w:basedOn w:val="1"/>
    <w:link w:val="86"/>
    <w:qFormat/>
    <w:uiPriority w:val="99"/>
    <w:pPr>
      <w:tabs>
        <w:tab w:val="center" w:pos="4153"/>
        <w:tab w:val="right" w:pos="8306"/>
      </w:tabs>
    </w:pPr>
  </w:style>
  <w:style w:type="paragraph" w:styleId="25">
    <w:name w:val="header"/>
    <w:basedOn w:val="1"/>
    <w:link w:val="90"/>
    <w:qFormat/>
    <w:uiPriority w:val="99"/>
    <w:pPr>
      <w:tabs>
        <w:tab w:val="center" w:pos="4153"/>
        <w:tab w:val="right" w:pos="8306"/>
      </w:tabs>
    </w:pPr>
  </w:style>
  <w:style w:type="paragraph" w:styleId="26">
    <w:name w:val="toc 1"/>
    <w:basedOn w:val="1"/>
    <w:next w:val="1"/>
    <w:semiHidden/>
    <w:qFormat/>
    <w:uiPriority w:val="0"/>
  </w:style>
  <w:style w:type="paragraph" w:styleId="27">
    <w:name w:val="toc 4"/>
    <w:basedOn w:val="1"/>
    <w:next w:val="1"/>
    <w:qFormat/>
    <w:uiPriority w:val="0"/>
    <w:pPr>
      <w:ind w:left="600"/>
    </w:pPr>
    <w:rPr>
      <w:lang w:val="en-US" w:eastAsia="en-US"/>
    </w:rPr>
  </w:style>
  <w:style w:type="paragraph" w:styleId="28">
    <w:name w:val="footnote text"/>
    <w:basedOn w:val="1"/>
    <w:link w:val="91"/>
    <w:qFormat/>
    <w:uiPriority w:val="0"/>
    <w:rPr>
      <w:rFonts w:eastAsia="Times New Roman"/>
      <w:lang w:eastAsia="en-US"/>
    </w:rPr>
  </w:style>
  <w:style w:type="paragraph" w:styleId="29">
    <w:name w:val="toc 6"/>
    <w:basedOn w:val="1"/>
    <w:next w:val="1"/>
    <w:qFormat/>
    <w:uiPriority w:val="0"/>
    <w:pPr>
      <w:ind w:left="1000"/>
    </w:pPr>
    <w:rPr>
      <w:lang w:val="en-US" w:eastAsia="en-US"/>
    </w:rPr>
  </w:style>
  <w:style w:type="paragraph" w:styleId="30">
    <w:name w:val="Body Text Indent 3"/>
    <w:basedOn w:val="1"/>
    <w:qFormat/>
    <w:uiPriority w:val="0"/>
    <w:pPr>
      <w:tabs>
        <w:tab w:val="left" w:pos="-720"/>
        <w:tab w:val="left" w:pos="0"/>
      </w:tabs>
      <w:suppressAutoHyphens/>
      <w:spacing w:line="360" w:lineRule="auto"/>
      <w:ind w:left="720" w:hanging="720"/>
      <w:jc w:val="both"/>
    </w:pPr>
    <w:rPr>
      <w:rFonts w:ascii="Arial" w:hAnsi="Arial" w:cs="Arial"/>
      <w:spacing w:val="-3"/>
      <w:sz w:val="24"/>
      <w:szCs w:val="24"/>
    </w:rPr>
  </w:style>
  <w:style w:type="paragraph" w:styleId="31">
    <w:name w:val="toc 2"/>
    <w:basedOn w:val="1"/>
    <w:next w:val="1"/>
    <w:qFormat/>
    <w:uiPriority w:val="39"/>
    <w:pPr>
      <w:ind w:left="200"/>
    </w:pPr>
  </w:style>
  <w:style w:type="paragraph" w:styleId="32">
    <w:name w:val="toc 9"/>
    <w:basedOn w:val="1"/>
    <w:next w:val="1"/>
    <w:qFormat/>
    <w:uiPriority w:val="0"/>
    <w:pPr>
      <w:ind w:left="1600"/>
    </w:pPr>
    <w:rPr>
      <w:lang w:val="en-US" w:eastAsia="en-US"/>
    </w:rPr>
  </w:style>
  <w:style w:type="paragraph" w:styleId="33">
    <w:name w:val="Body Text 2"/>
    <w:basedOn w:val="1"/>
    <w:qFormat/>
    <w:uiPriority w:val="0"/>
    <w:pPr>
      <w:spacing w:after="120" w:line="480" w:lineRule="auto"/>
    </w:pPr>
  </w:style>
  <w:style w:type="paragraph" w:styleId="34">
    <w:name w:val="Normal (Web)"/>
    <w:basedOn w:val="1"/>
    <w:qFormat/>
    <w:uiPriority w:val="0"/>
    <w:pPr>
      <w:spacing w:before="100" w:beforeAutospacing="1" w:after="100" w:afterAutospacing="1"/>
    </w:pPr>
    <w:rPr>
      <w:color w:val="00004B"/>
      <w:sz w:val="24"/>
      <w:szCs w:val="24"/>
      <w:lang w:val="en-US" w:eastAsia="en-US"/>
    </w:rPr>
  </w:style>
  <w:style w:type="paragraph" w:styleId="35">
    <w:name w:val="annotation subject"/>
    <w:basedOn w:val="15"/>
    <w:next w:val="15"/>
    <w:semiHidden/>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16"/>
      <w:szCs w:val="16"/>
    </w:rPr>
  </w:style>
  <w:style w:type="character" w:styleId="44">
    <w:name w:val="footnote reference"/>
    <w:qFormat/>
    <w:uiPriority w:val="0"/>
    <w:rPr>
      <w:vertAlign w:val="superscript"/>
    </w:rPr>
  </w:style>
  <w:style w:type="paragraph" w:customStyle="1" w:styleId="45">
    <w:name w:val="Char Char Char Char Char Char"/>
    <w:basedOn w:val="1"/>
    <w:qFormat/>
    <w:uiPriority w:val="0"/>
    <w:pPr>
      <w:spacing w:after="160" w:line="240" w:lineRule="exact"/>
    </w:pPr>
    <w:rPr>
      <w:rFonts w:ascii="Verdana" w:hAnsi="Verdana" w:cs="Verdana"/>
      <w:sz w:val="22"/>
      <w:szCs w:val="22"/>
      <w:lang w:val="en-US" w:eastAsia="en-US"/>
    </w:rPr>
  </w:style>
  <w:style w:type="character" w:customStyle="1" w:styleId="46">
    <w:name w:val="正文文本 字符"/>
    <w:link w:val="17"/>
    <w:qFormat/>
    <w:uiPriority w:val="0"/>
    <w:rPr>
      <w:rFonts w:ascii="Arial" w:hAnsi="Arial" w:cs="Arial"/>
      <w:sz w:val="24"/>
      <w:szCs w:val="24"/>
      <w:lang w:val="en-GB" w:eastAsia="fr-BE"/>
    </w:rPr>
  </w:style>
  <w:style w:type="paragraph" w:customStyle="1" w:styleId="47">
    <w:name w:val="CH Style1"/>
    <w:basedOn w:val="2"/>
    <w:qFormat/>
    <w:uiPriority w:val="0"/>
    <w:pPr>
      <w:numPr>
        <w:ilvl w:val="0"/>
        <w:numId w:val="5"/>
      </w:numPr>
      <w:tabs>
        <w:tab w:val="clear" w:pos="709"/>
        <w:tab w:val="clear" w:pos="1418"/>
        <w:tab w:val="clear" w:pos="2127"/>
      </w:tabs>
      <w:overflowPunct w:val="0"/>
      <w:autoSpaceDE w:val="0"/>
      <w:autoSpaceDN w:val="0"/>
      <w:adjustRightInd w:val="0"/>
      <w:spacing w:before="0" w:after="0" w:line="240" w:lineRule="auto"/>
      <w:textAlignment w:val="baseline"/>
    </w:pPr>
    <w:rPr>
      <w:bCs w:val="0"/>
      <w:caps w:val="0"/>
      <w:sz w:val="20"/>
      <w:szCs w:val="20"/>
      <w:lang w:eastAsia="en-US"/>
    </w:rPr>
  </w:style>
  <w:style w:type="paragraph" w:customStyle="1" w:styleId="48">
    <w:name w:val="CH style4"/>
    <w:basedOn w:val="1"/>
    <w:qFormat/>
    <w:uiPriority w:val="0"/>
    <w:pPr>
      <w:numPr>
        <w:ilvl w:val="3"/>
        <w:numId w:val="5"/>
      </w:numPr>
      <w:tabs>
        <w:tab w:val="left" w:pos="-720"/>
      </w:tabs>
      <w:suppressAutoHyphens/>
      <w:spacing w:line="360" w:lineRule="auto"/>
      <w:jc w:val="both"/>
    </w:pPr>
    <w:rPr>
      <w:rFonts w:ascii="Arial" w:hAnsi="Arial" w:cs="Arial"/>
      <w:spacing w:val="-3"/>
      <w:lang w:eastAsia="en-US"/>
    </w:rPr>
  </w:style>
  <w:style w:type="paragraph" w:customStyle="1" w:styleId="49">
    <w:name w:val="CH Style3"/>
    <w:basedOn w:val="1"/>
    <w:qFormat/>
    <w:uiPriority w:val="0"/>
    <w:pPr>
      <w:numPr>
        <w:ilvl w:val="2"/>
        <w:numId w:val="5"/>
      </w:numPr>
      <w:tabs>
        <w:tab w:val="left" w:pos="-720"/>
      </w:tabs>
      <w:suppressAutoHyphens/>
      <w:spacing w:line="360" w:lineRule="auto"/>
      <w:jc w:val="both"/>
    </w:pPr>
    <w:rPr>
      <w:rFonts w:ascii="Arial" w:hAnsi="Arial" w:cs="Arial"/>
      <w:spacing w:val="-3"/>
      <w:lang w:eastAsia="en-US"/>
    </w:rPr>
  </w:style>
  <w:style w:type="paragraph" w:customStyle="1" w:styleId="50">
    <w:name w:val="CH STYLE 2"/>
    <w:basedOn w:val="1"/>
    <w:qFormat/>
    <w:uiPriority w:val="0"/>
    <w:pPr>
      <w:numPr>
        <w:ilvl w:val="1"/>
        <w:numId w:val="5"/>
      </w:numPr>
      <w:tabs>
        <w:tab w:val="left" w:pos="90"/>
      </w:tabs>
      <w:suppressAutoHyphens/>
      <w:spacing w:line="360" w:lineRule="auto"/>
      <w:ind w:left="0" w:firstLine="0"/>
      <w:jc w:val="both"/>
    </w:pPr>
    <w:rPr>
      <w:rFonts w:ascii="Arial" w:hAnsi="Arial"/>
      <w:bCs/>
      <w:lang w:eastAsia="en-US"/>
    </w:rPr>
  </w:style>
  <w:style w:type="character" w:customStyle="1" w:styleId="51">
    <w:name w:val="zzmpTrailerItem"/>
    <w:qFormat/>
    <w:uiPriority w:val="0"/>
    <w:rPr>
      <w:rFonts w:ascii="Times New Roman" w:hAnsi="Times New Roman" w:cs="Times New Roman"/>
      <w:color w:val="auto"/>
      <w:spacing w:val="0"/>
      <w:position w:val="0"/>
      <w:sz w:val="16"/>
      <w:u w:val="none"/>
      <w:vertAlign w:val="baseline"/>
      <w14:shadow w14:blurRad="0" w14:dist="0" w14:dir="0" w14:sx="0" w14:sy="0" w14:kx="0" w14:ky="0" w14:algn="none">
        <w14:srgbClr w14:val="000000"/>
      </w14:shadow>
    </w:rPr>
  </w:style>
  <w:style w:type="paragraph" w:customStyle="1" w:styleId="52">
    <w:name w:val="License Heading 2"/>
    <w:basedOn w:val="3"/>
    <w:qFormat/>
    <w:uiPriority w:val="0"/>
    <w:pPr>
      <w:numPr>
        <w:ilvl w:val="0"/>
        <w:numId w:val="6"/>
      </w:numPr>
      <w:autoSpaceDE w:val="0"/>
      <w:autoSpaceDN w:val="0"/>
      <w:adjustRightInd w:val="0"/>
      <w:spacing w:after="240" w:line="240" w:lineRule="auto"/>
    </w:pPr>
    <w:rPr>
      <w:rFonts w:ascii="Times New Roman" w:hAnsi="Times New Roman" w:cs="Times New Roman"/>
      <w:bCs w:val="0"/>
      <w:w w:val="0"/>
      <w:sz w:val="24"/>
      <w:szCs w:val="24"/>
      <w:lang w:val="en-US" w:eastAsia="en-US"/>
    </w:rPr>
  </w:style>
  <w:style w:type="paragraph" w:customStyle="1" w:styleId="53">
    <w:name w:val="License Heading 3"/>
    <w:basedOn w:val="4"/>
    <w:qFormat/>
    <w:uiPriority w:val="0"/>
    <w:pPr>
      <w:numPr>
        <w:ilvl w:val="2"/>
        <w:numId w:val="6"/>
      </w:numPr>
      <w:autoSpaceDE w:val="0"/>
      <w:autoSpaceDN w:val="0"/>
      <w:adjustRightInd w:val="0"/>
      <w:spacing w:after="240"/>
    </w:pPr>
    <w:rPr>
      <w:rFonts w:ascii="Times New Roman" w:hAnsi="Times New Roman" w:cs="Times New Roman"/>
      <w:bCs/>
      <w:szCs w:val="20"/>
      <w:lang w:eastAsia="en-US"/>
    </w:rPr>
  </w:style>
  <w:style w:type="paragraph" w:customStyle="1" w:styleId="54">
    <w:name w:val="Char"/>
    <w:basedOn w:val="1"/>
    <w:qFormat/>
    <w:uiPriority w:val="0"/>
    <w:pPr>
      <w:spacing w:after="160" w:line="240" w:lineRule="exact"/>
    </w:pPr>
    <w:rPr>
      <w:rFonts w:ascii="Verdana" w:hAnsi="Verdana"/>
      <w:lang w:val="en-US" w:eastAsia="en-US"/>
    </w:rPr>
  </w:style>
  <w:style w:type="paragraph" w:customStyle="1" w:styleId="55">
    <w:name w:val="MBP_Bd Single Sp J"/>
    <w:basedOn w:val="1"/>
    <w:qFormat/>
    <w:uiPriority w:val="0"/>
    <w:pPr>
      <w:spacing w:after="240"/>
      <w:jc w:val="both"/>
    </w:pPr>
    <w:rPr>
      <w:sz w:val="24"/>
      <w:lang w:val="en-US" w:eastAsia="en-US"/>
    </w:rPr>
  </w:style>
  <w:style w:type="paragraph" w:customStyle="1" w:styleId="56">
    <w:name w:val="正文1"/>
    <w:basedOn w:val="1"/>
    <w:qFormat/>
    <w:uiPriority w:val="0"/>
    <w:pPr>
      <w:widowControl w:val="0"/>
      <w:spacing w:line="239" w:lineRule="atLeast"/>
    </w:pPr>
    <w:rPr>
      <w:rFonts w:ascii="Times" w:hAnsi="Times"/>
      <w:sz w:val="24"/>
      <w:lang w:val="en-US" w:eastAsia="en-US"/>
    </w:rPr>
  </w:style>
  <w:style w:type="paragraph" w:customStyle="1" w:styleId="57">
    <w:name w:val="FWB_L1"/>
    <w:basedOn w:val="1"/>
    <w:next w:val="58"/>
    <w:qFormat/>
    <w:uiPriority w:val="99"/>
    <w:pPr>
      <w:keepNext/>
      <w:keepLines/>
      <w:numPr>
        <w:ilvl w:val="0"/>
        <w:numId w:val="7"/>
      </w:numPr>
      <w:spacing w:after="240"/>
      <w:outlineLvl w:val="0"/>
    </w:pPr>
    <w:rPr>
      <w:b/>
      <w:smallCaps/>
      <w:sz w:val="24"/>
      <w:lang w:eastAsia="en-US"/>
    </w:rPr>
  </w:style>
  <w:style w:type="paragraph" w:customStyle="1" w:styleId="58">
    <w:name w:val="FWB_L2"/>
    <w:basedOn w:val="57"/>
    <w:link w:val="65"/>
    <w:qFormat/>
    <w:uiPriority w:val="99"/>
    <w:pPr>
      <w:keepNext w:val="0"/>
      <w:keepLines w:val="0"/>
      <w:numPr>
        <w:ilvl w:val="1"/>
      </w:numPr>
      <w:jc w:val="both"/>
      <w:outlineLvl w:val="9"/>
    </w:pPr>
    <w:rPr>
      <w:b w:val="0"/>
      <w:smallCaps w:val="0"/>
    </w:rPr>
  </w:style>
  <w:style w:type="paragraph" w:customStyle="1" w:styleId="59">
    <w:name w:val="FWB_L3"/>
    <w:basedOn w:val="58"/>
    <w:qFormat/>
    <w:uiPriority w:val="99"/>
    <w:pPr>
      <w:numPr>
        <w:ilvl w:val="2"/>
      </w:numPr>
      <w:tabs>
        <w:tab w:val="left" w:pos="360"/>
      </w:tabs>
      <w:ind w:left="705" w:hanging="690"/>
    </w:pPr>
  </w:style>
  <w:style w:type="paragraph" w:customStyle="1" w:styleId="60">
    <w:name w:val="FWB_L4"/>
    <w:basedOn w:val="59"/>
    <w:qFormat/>
    <w:uiPriority w:val="99"/>
    <w:pPr>
      <w:numPr>
        <w:ilvl w:val="3"/>
      </w:numPr>
      <w:tabs>
        <w:tab w:val="left" w:pos="705"/>
      </w:tabs>
      <w:ind w:left="705" w:hanging="690"/>
    </w:pPr>
  </w:style>
  <w:style w:type="paragraph" w:customStyle="1" w:styleId="61">
    <w:name w:val="FWB_L5"/>
    <w:basedOn w:val="60"/>
    <w:qFormat/>
    <w:uiPriority w:val="99"/>
    <w:pPr>
      <w:numPr>
        <w:ilvl w:val="4"/>
      </w:numPr>
      <w:ind w:left="705" w:hanging="690"/>
    </w:pPr>
  </w:style>
  <w:style w:type="paragraph" w:customStyle="1" w:styleId="62">
    <w:name w:val="FWB_L6"/>
    <w:basedOn w:val="61"/>
    <w:qFormat/>
    <w:uiPriority w:val="99"/>
    <w:pPr>
      <w:numPr>
        <w:ilvl w:val="5"/>
      </w:numPr>
      <w:ind w:left="705" w:hanging="690"/>
    </w:pPr>
  </w:style>
  <w:style w:type="paragraph" w:customStyle="1" w:styleId="63">
    <w:name w:val="FWB_L7"/>
    <w:basedOn w:val="62"/>
    <w:qFormat/>
    <w:uiPriority w:val="99"/>
    <w:pPr>
      <w:numPr>
        <w:ilvl w:val="6"/>
      </w:numPr>
      <w:ind w:left="705" w:hanging="690"/>
    </w:pPr>
  </w:style>
  <w:style w:type="paragraph" w:customStyle="1" w:styleId="64">
    <w:name w:val="FWB_L8"/>
    <w:basedOn w:val="63"/>
    <w:qFormat/>
    <w:uiPriority w:val="99"/>
    <w:pPr>
      <w:numPr>
        <w:ilvl w:val="7"/>
      </w:numPr>
      <w:ind w:left="705" w:hanging="690"/>
    </w:pPr>
  </w:style>
  <w:style w:type="character" w:customStyle="1" w:styleId="65">
    <w:name w:val="FWB_L2 Char Char"/>
    <w:link w:val="58"/>
    <w:qFormat/>
    <w:uiPriority w:val="0"/>
    <w:rPr>
      <w:sz w:val="24"/>
      <w:lang w:val="en-GB" w:eastAsia="en-US"/>
    </w:rPr>
  </w:style>
  <w:style w:type="paragraph" w:customStyle="1" w:styleId="66">
    <w:name w:val="Legal2_L1"/>
    <w:basedOn w:val="1"/>
    <w:qFormat/>
    <w:uiPriority w:val="0"/>
    <w:pPr>
      <w:numPr>
        <w:ilvl w:val="0"/>
        <w:numId w:val="8"/>
      </w:numPr>
      <w:spacing w:after="240"/>
      <w:outlineLvl w:val="0"/>
    </w:pPr>
    <w:rPr>
      <w:sz w:val="24"/>
      <w:lang w:val="en-US" w:eastAsia="en-US"/>
    </w:rPr>
  </w:style>
  <w:style w:type="paragraph" w:customStyle="1" w:styleId="67">
    <w:name w:val="Legal2_L2"/>
    <w:basedOn w:val="66"/>
    <w:qFormat/>
    <w:uiPriority w:val="0"/>
    <w:pPr>
      <w:numPr>
        <w:ilvl w:val="1"/>
      </w:numPr>
      <w:outlineLvl w:val="1"/>
    </w:pPr>
  </w:style>
  <w:style w:type="paragraph" w:customStyle="1" w:styleId="68">
    <w:name w:val="Legal2_L3"/>
    <w:basedOn w:val="67"/>
    <w:link w:val="75"/>
    <w:qFormat/>
    <w:uiPriority w:val="0"/>
    <w:pPr>
      <w:numPr>
        <w:ilvl w:val="2"/>
      </w:numPr>
      <w:outlineLvl w:val="2"/>
    </w:pPr>
  </w:style>
  <w:style w:type="paragraph" w:customStyle="1" w:styleId="69">
    <w:name w:val="Legal2_L4"/>
    <w:basedOn w:val="68"/>
    <w:qFormat/>
    <w:uiPriority w:val="0"/>
    <w:pPr>
      <w:numPr>
        <w:ilvl w:val="3"/>
      </w:numPr>
      <w:ind w:left="2880" w:hanging="360"/>
      <w:outlineLvl w:val="3"/>
    </w:pPr>
  </w:style>
  <w:style w:type="paragraph" w:customStyle="1" w:styleId="70">
    <w:name w:val="Legal2_L5"/>
    <w:basedOn w:val="69"/>
    <w:qFormat/>
    <w:uiPriority w:val="0"/>
    <w:pPr>
      <w:numPr>
        <w:ilvl w:val="4"/>
      </w:numPr>
      <w:ind w:left="3600" w:hanging="360"/>
      <w:outlineLvl w:val="4"/>
    </w:pPr>
  </w:style>
  <w:style w:type="paragraph" w:customStyle="1" w:styleId="71">
    <w:name w:val="Legal2_L6"/>
    <w:basedOn w:val="70"/>
    <w:qFormat/>
    <w:uiPriority w:val="0"/>
    <w:pPr>
      <w:numPr>
        <w:ilvl w:val="5"/>
      </w:numPr>
      <w:ind w:left="4320" w:hanging="180"/>
      <w:outlineLvl w:val="5"/>
    </w:pPr>
  </w:style>
  <w:style w:type="paragraph" w:customStyle="1" w:styleId="72">
    <w:name w:val="Legal2_L7"/>
    <w:basedOn w:val="71"/>
    <w:qFormat/>
    <w:uiPriority w:val="0"/>
    <w:pPr>
      <w:numPr>
        <w:ilvl w:val="6"/>
      </w:numPr>
      <w:ind w:left="5040" w:hanging="360"/>
      <w:outlineLvl w:val="6"/>
    </w:pPr>
  </w:style>
  <w:style w:type="paragraph" w:customStyle="1" w:styleId="73">
    <w:name w:val="Legal2_L8"/>
    <w:basedOn w:val="72"/>
    <w:qFormat/>
    <w:uiPriority w:val="0"/>
    <w:pPr>
      <w:numPr>
        <w:ilvl w:val="7"/>
      </w:numPr>
      <w:ind w:left="5760" w:hanging="360"/>
      <w:outlineLvl w:val="7"/>
    </w:pPr>
  </w:style>
  <w:style w:type="paragraph" w:customStyle="1" w:styleId="74">
    <w:name w:val="Legal2_L9"/>
    <w:basedOn w:val="73"/>
    <w:qFormat/>
    <w:uiPriority w:val="0"/>
    <w:pPr>
      <w:numPr>
        <w:ilvl w:val="8"/>
      </w:numPr>
      <w:ind w:left="6480" w:hanging="180"/>
      <w:outlineLvl w:val="8"/>
    </w:pPr>
  </w:style>
  <w:style w:type="character" w:customStyle="1" w:styleId="75">
    <w:name w:val="Legal2_L3 Char"/>
    <w:link w:val="68"/>
    <w:qFormat/>
    <w:uiPriority w:val="0"/>
    <w:rPr>
      <w:sz w:val="24"/>
      <w:lang w:val="en-US" w:eastAsia="en-US"/>
    </w:rPr>
  </w:style>
  <w:style w:type="character" w:customStyle="1" w:styleId="76">
    <w:name w:val="DeltaView Deletion"/>
    <w:qFormat/>
    <w:uiPriority w:val="0"/>
    <w:rPr>
      <w:strike/>
      <w:color w:val="FF0000"/>
      <w:spacing w:val="0"/>
    </w:rPr>
  </w:style>
  <w:style w:type="character" w:customStyle="1" w:styleId="77">
    <w:name w:val="urtxtstd"/>
    <w:basedOn w:val="38"/>
    <w:qFormat/>
    <w:uiPriority w:val="0"/>
  </w:style>
  <w:style w:type="character" w:customStyle="1" w:styleId="78">
    <w:name w:val="批注文字 字符"/>
    <w:link w:val="15"/>
    <w:qFormat/>
    <w:uiPriority w:val="99"/>
    <w:rPr>
      <w:lang w:val="en-GB" w:eastAsia="fr-BE"/>
    </w:rPr>
  </w:style>
  <w:style w:type="paragraph" w:customStyle="1" w:styleId="79">
    <w:name w:val="statement"/>
    <w:basedOn w:val="1"/>
    <w:qFormat/>
    <w:uiPriority w:val="0"/>
    <w:pPr>
      <w:tabs>
        <w:tab w:val="left" w:pos="4320"/>
        <w:tab w:val="left" w:pos="5220"/>
        <w:tab w:val="left" w:pos="6200"/>
        <w:tab w:val="left" w:pos="7100"/>
        <w:tab w:val="left" w:pos="8000"/>
        <w:tab w:val="left" w:pos="8820"/>
      </w:tabs>
      <w:overflowPunct w:val="0"/>
      <w:autoSpaceDE w:val="0"/>
      <w:autoSpaceDN w:val="0"/>
      <w:adjustRightInd w:val="0"/>
      <w:spacing w:before="100" w:after="20" w:line="300" w:lineRule="atLeast"/>
      <w:ind w:left="360"/>
      <w:textAlignment w:val="baseline"/>
    </w:pPr>
    <w:rPr>
      <w:rFonts w:ascii="Arial" w:hAnsi="Arial"/>
      <w:sz w:val="24"/>
      <w:lang w:eastAsia="en-US"/>
    </w:rPr>
  </w:style>
  <w:style w:type="paragraph" w:customStyle="1" w:styleId="80">
    <w:name w:val="bullet"/>
    <w:basedOn w:val="1"/>
    <w:qFormat/>
    <w:uiPriority w:val="0"/>
    <w:pPr>
      <w:tabs>
        <w:tab w:val="left" w:pos="4320"/>
        <w:tab w:val="left" w:pos="5220"/>
        <w:tab w:val="left" w:pos="6200"/>
        <w:tab w:val="left" w:pos="7100"/>
        <w:tab w:val="left" w:pos="8000"/>
        <w:tab w:val="left" w:pos="8820"/>
      </w:tabs>
      <w:overflowPunct w:val="0"/>
      <w:autoSpaceDE w:val="0"/>
      <w:autoSpaceDN w:val="0"/>
      <w:adjustRightInd w:val="0"/>
      <w:spacing w:before="20" w:after="20" w:line="300" w:lineRule="atLeast"/>
      <w:ind w:left="620" w:hanging="260"/>
      <w:textAlignment w:val="baseline"/>
    </w:pPr>
    <w:rPr>
      <w:rFonts w:ascii="Arial" w:hAnsi="Arial"/>
      <w:sz w:val="24"/>
      <w:lang w:eastAsia="en-US"/>
    </w:rPr>
  </w:style>
  <w:style w:type="character" w:customStyle="1" w:styleId="81">
    <w:name w:val="正文文本 3 字符"/>
    <w:link w:val="16"/>
    <w:qFormat/>
    <w:uiPriority w:val="0"/>
    <w:rPr>
      <w:rFonts w:ascii="Arial" w:hAnsi="Arial"/>
      <w:color w:val="000000"/>
    </w:rPr>
  </w:style>
  <w:style w:type="paragraph" w:customStyle="1" w:styleId="82">
    <w:name w:val="Help Buttons"/>
    <w:basedOn w:val="1"/>
    <w:qFormat/>
    <w:uiPriority w:val="0"/>
    <w:pPr>
      <w:tabs>
        <w:tab w:val="left" w:pos="900"/>
        <w:tab w:val="left" w:pos="1620"/>
      </w:tabs>
      <w:overflowPunct w:val="0"/>
      <w:autoSpaceDE w:val="0"/>
      <w:autoSpaceDN w:val="0"/>
      <w:adjustRightInd w:val="0"/>
      <w:spacing w:before="20" w:after="20" w:line="300" w:lineRule="atLeast"/>
      <w:textAlignment w:val="baseline"/>
    </w:pPr>
    <w:rPr>
      <w:rFonts w:ascii="Arial" w:hAnsi="Arial"/>
      <w:vanish/>
      <w:sz w:val="24"/>
      <w:lang w:eastAsia="en-US"/>
    </w:rPr>
  </w:style>
  <w:style w:type="paragraph" w:customStyle="1" w:styleId="83">
    <w:name w:val="Hidden Instructions"/>
    <w:basedOn w:val="80"/>
    <w:qFormat/>
    <w:uiPriority w:val="0"/>
    <w:pPr>
      <w:tabs>
        <w:tab w:val="left" w:pos="1440"/>
        <w:tab w:val="left" w:pos="2340"/>
      </w:tabs>
      <w:ind w:left="0" w:firstLine="0"/>
    </w:pPr>
    <w:rPr>
      <w:b/>
      <w:vanish/>
      <w:color w:val="FF0000"/>
    </w:rPr>
  </w:style>
  <w:style w:type="character" w:customStyle="1" w:styleId="84">
    <w:name w:val="文档结构图 字符"/>
    <w:link w:val="13"/>
    <w:qFormat/>
    <w:uiPriority w:val="99"/>
    <w:rPr>
      <w:rFonts w:ascii="Tahoma" w:hAnsi="Tahoma" w:cs="Tahoma"/>
      <w:shd w:val="clear" w:color="auto" w:fill="000080"/>
    </w:rPr>
  </w:style>
  <w:style w:type="paragraph" w:styleId="85">
    <w:name w:val="List Paragraph"/>
    <w:basedOn w:val="1"/>
    <w:qFormat/>
    <w:uiPriority w:val="34"/>
    <w:pPr>
      <w:ind w:left="720"/>
    </w:pPr>
    <w:rPr>
      <w:rFonts w:ascii="Calibri" w:hAnsi="Calibri" w:eastAsia="Calibri" w:cs="Calibri"/>
      <w:sz w:val="22"/>
      <w:szCs w:val="22"/>
      <w:lang w:val="en-US" w:eastAsia="en-US"/>
    </w:rPr>
  </w:style>
  <w:style w:type="character" w:customStyle="1" w:styleId="86">
    <w:name w:val="页脚 字符"/>
    <w:link w:val="24"/>
    <w:qFormat/>
    <w:uiPriority w:val="99"/>
    <w:rPr>
      <w:lang w:val="en-GB" w:eastAsia="fr-BE"/>
    </w:rPr>
  </w:style>
  <w:style w:type="character" w:customStyle="1" w:styleId="87">
    <w:name w:val="标题 2 字符"/>
    <w:link w:val="3"/>
    <w:qFormat/>
    <w:uiPriority w:val="0"/>
    <w:rPr>
      <w:rFonts w:ascii="Arial" w:hAnsi="Arial" w:cs="Arial"/>
      <w:bCs/>
      <w:sz w:val="22"/>
      <w:szCs w:val="18"/>
      <w:lang w:val="en-GB" w:eastAsia="fr-BE"/>
    </w:rPr>
  </w:style>
  <w:style w:type="paragraph" w:customStyle="1" w:styleId="88">
    <w:name w:val="修订1"/>
    <w:hidden/>
    <w:semiHidden/>
    <w:qFormat/>
    <w:uiPriority w:val="99"/>
    <w:rPr>
      <w:rFonts w:ascii="Times New Roman" w:hAnsi="Times New Roman" w:cs="Times New Roman" w:eastAsiaTheme="minorEastAsia"/>
      <w:lang w:val="en-GB" w:eastAsia="fr-BE" w:bidi="ar-SA"/>
    </w:rPr>
  </w:style>
  <w:style w:type="character" w:customStyle="1" w:styleId="89">
    <w:name w:val="批注框文本 字符"/>
    <w:basedOn w:val="38"/>
    <w:link w:val="23"/>
    <w:semiHidden/>
    <w:qFormat/>
    <w:uiPriority w:val="99"/>
    <w:rPr>
      <w:rFonts w:ascii="Tahoma" w:hAnsi="Tahoma" w:cs="Tahoma"/>
      <w:sz w:val="16"/>
      <w:szCs w:val="16"/>
      <w:lang w:val="en-GB" w:eastAsia="fr-BE"/>
    </w:rPr>
  </w:style>
  <w:style w:type="character" w:customStyle="1" w:styleId="90">
    <w:name w:val="页眉 字符"/>
    <w:basedOn w:val="38"/>
    <w:link w:val="25"/>
    <w:qFormat/>
    <w:uiPriority w:val="99"/>
    <w:rPr>
      <w:lang w:val="en-GB" w:eastAsia="fr-BE"/>
    </w:rPr>
  </w:style>
  <w:style w:type="character" w:customStyle="1" w:styleId="91">
    <w:name w:val="脚注文本 字符"/>
    <w:basedOn w:val="38"/>
    <w:link w:val="28"/>
    <w:qFormat/>
    <w:uiPriority w:val="0"/>
    <w:rPr>
      <w:rFonts w:eastAsia="Times New Roman"/>
      <w:lang w:val="en-GB" w:eastAsia="en-US"/>
    </w:rPr>
  </w:style>
  <w:style w:type="character" w:customStyle="1" w:styleId="92">
    <w:name w:val="标题 1 字符"/>
    <w:basedOn w:val="38"/>
    <w:link w:val="2"/>
    <w:qFormat/>
    <w:uiPriority w:val="9"/>
    <w:rPr>
      <w:rFonts w:ascii="Arial" w:hAnsi="Arial" w:cs="Arial"/>
      <w:b/>
      <w:bCs/>
      <w:caps/>
      <w:sz w:val="24"/>
      <w:szCs w:val="22"/>
      <w:u w:val="single"/>
    </w:rPr>
  </w:style>
  <w:style w:type="paragraph" w:customStyle="1" w:styleId="93">
    <w:name w:val="修订2"/>
    <w:hidden/>
    <w:semiHidden/>
    <w:qFormat/>
    <w:uiPriority w:val="99"/>
    <w:rPr>
      <w:rFonts w:ascii="Times New Roman" w:hAnsi="Times New Roman" w:cs="Times New Roman" w:eastAsiaTheme="minorEastAsia"/>
      <w:lang w:val="en-GB" w:eastAsia="fr-BE" w:bidi="ar-SA"/>
    </w:rPr>
  </w:style>
  <w:style w:type="paragraph" w:customStyle="1" w:styleId="94">
    <w:name w:val="修订3"/>
    <w:hidden/>
    <w:unhideWhenUsed/>
    <w:qFormat/>
    <w:uiPriority w:val="99"/>
    <w:rPr>
      <w:rFonts w:ascii="Times New Roman" w:hAnsi="Times New Roman" w:cs="Times New Roman" w:eastAsiaTheme="minorEastAsia"/>
      <w:lang w:val="en-GB" w:eastAsia="fr-BE" w:bidi="ar-SA"/>
    </w:rPr>
  </w:style>
  <w:style w:type="paragraph" w:customStyle="1" w:styleId="95">
    <w:name w:val="修订4"/>
    <w:hidden/>
    <w:unhideWhenUsed/>
    <w:qFormat/>
    <w:uiPriority w:val="99"/>
    <w:rPr>
      <w:rFonts w:ascii="Times New Roman" w:hAnsi="Times New Roman" w:cs="Times New Roman" w:eastAsiaTheme="minorEastAsia"/>
      <w:lang w:val="en-GB" w:eastAsia="fr-BE" w:bidi="ar-SA"/>
    </w:rPr>
  </w:style>
  <w:style w:type="paragraph" w:customStyle="1" w:styleId="96">
    <w:name w:val="修订5"/>
    <w:hidden/>
    <w:unhideWhenUsed/>
    <w:qFormat/>
    <w:uiPriority w:val="99"/>
    <w:rPr>
      <w:rFonts w:ascii="Times New Roman" w:hAnsi="Times New Roman" w:cs="Times New Roman" w:eastAsiaTheme="minorEastAsia"/>
      <w:lang w:val="en-GB" w:eastAsia="fr-BE" w:bidi="ar-SA"/>
    </w:rPr>
  </w:style>
  <w:style w:type="paragraph" w:customStyle="1" w:styleId="97">
    <w:name w:val="修订6"/>
    <w:hidden/>
    <w:unhideWhenUsed/>
    <w:qFormat/>
    <w:uiPriority w:val="99"/>
    <w:rPr>
      <w:rFonts w:ascii="Times New Roman" w:hAnsi="Times New Roman" w:cs="Times New Roman" w:eastAsiaTheme="minorEastAsia"/>
      <w:lang w:val="en-GB" w:eastAsia="fr-BE"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display_urn_x003a_schemas_x002d_microsoft_x002d_com_x003a_office_x003a_office_x0023_Matter_x0020_Users"><![CDATA[Chabanis Thomas;Cullen Lisa;Demir Elke;Downes Meghanne (Baker & McKenzie);Duponchel Jeanne;Geysens Gaby;Greggersen Andrea;Grundberg Frida;Hugon Charlotte;Janke Soeren;Kanzok Dennis;Le Grelle Muriel;Lecocq Michaela;Legal Assistant Slough;Lezin Catherine;Moeller Peter;Renier Carine;Schemann Eric;Stretton David;Talbott Rachel;Trainor Robert;Van Obberghen Olivier (contractor);Vanden Bruel Sylvie;Verplancke Peter;Zonnekein Marleen;Silbey Bill;Lintermans Bart (Contractor);Debats Alice;Gilles Tinne;Vleugels Dirk;Wyckmans Pieter (Contractor);De Travieso Renata;Fargher Adina;Yu Tao;Vandepaer Marie;Haas François;Schollaert Jean-Marie;Rasmussen Mia;Graceffa Patricia;Pirlot Nathalie;Luo Vicki;Karen Eryou;Chen Lily (Compliance);Wilson Amy;Thompson John;Norris Allen;Milnes Charlotte;Lechien Monique;Juckes Paula;Hassa Jurgen;Dressen Frank;Derouane Daphné;Bull Christof;Blanchard Amanda;Ansell Phillip;Beuken Benoit;Jungen Carmen;Thompson Paul;Marin Vlad (IBM);Shkopiak Talitha (Taylor Wessing);Costello Simon;Marinello Alessandra]]></LongProp>
  <LongProp xmlns="" name="Matter_x0020_Users"><![CDATA[40;#Chabanis Thomas;#46;#Cullen Lisa;#57;#Demir Elke;#58;#Downes Meghanne (Baker & McKenzie);#48;#Duponchel Jeanne;#49;#Geysens Gaby;#61;#Greggersen Andrea;#62;#Grundberg Frida;#63;#Hugon Charlotte;#64;#Janke Soeren;#66;#Kanzok Dennis;#67;#Le Grelle Muriel;#50;#Lecocq Michaela;#68;#Legal Assistant Slough;#42;#Lezin Catherine;#70;#Moeller Peter;#72;#Renier Carine;#73;#Schemann Eric;#75;#Stretton David;#76;#Talbott Rachel;#77;#Trainor Robert;#79;#Van Obberghen Olivier (contractor);#80;#Vanden Bruel Sylvie;#81;#Verplancke Peter;#41;#Zonnekein Marleen;#738;#Silbey Bill;#783;#Lintermans Bart (Contractor);#1177;#Debats Alice;#1149;#Gilles Tinne;#82;#Vleugels Dirk;#1108;#Wyckmans Pieter (Contractor);#1288;#De Travieso Renata;#1291;#Fargher Adina;#1408;#Yu Tao;#1409;#Vandepaer Marie;#1410;#Haas François;#1411;#Schollaert Jean-Marie;#1412;#Rasmussen Mia;#1413;#Graceffa Patricia;#1414;#Pirlot Nathalie;#1415;#Luo Vicki;#1416;#Karen Eryou;#1417;#Chen Lily (Compliance);#1418;#Wilson Amy;#1419;#Thompson John;#1420;#Norris Allen;#1421;#Milnes Charlotte;#1164;#Lechien Monique;#1422;#Juckes Paula;#1423;#Hassa Jurgen;#1424;#Dressen Frank;#1163;#Derouane Daphné;#1425;#Bull Christof;#1426;#Blanchard Amanda;#1427;#Ansell Phillip;#1454;#Beuken Benoit;#1455;#Jungen Carmen;#1267;#Thompson Paul;#1456;#Marin Vlad (IBM);#1430;#Shkopiak Talitha (Taylor Wessing);#1458;#Costello Simon;#1462;#Marinello Alessandra]]></LongProp>
</LongProperties>
</file>

<file path=customXml/item4.xml><?xml version="1.0" encoding="utf-8"?>
<?mso-contentType ?>
<customXsn xmlns="http://schemas.microsoft.com/office/2006/metadata/customXsn">
  <xsnLocation>https://collaboration.ucb.com/sites/E-filing/_cts/Legal Filing Document/b6b5e9eb56efb8acustomXsn.xsn</xsnLocation>
  <cached>True</cached>
  <openByDefault>True</openByDefault>
  <xsnScope>https://collaboration.ucb.com/sites/E-filing</xsnScope>
</customXsn>
</file>

<file path=customXml/item5.xml><?xml version="1.0" encoding="utf-8"?>
<ct:contentTypeSchema xmlns:ct="http://schemas.microsoft.com/office/2006/metadata/contentType" xmlns:ma="http://schemas.microsoft.com/office/2006/metadata/properties/metaAttributes" ct:_="" ma:_="" ma:contentTypeName="Legal Filing Word Document" ma:contentTypeID="0x0101005DBB845A1C2F0240A310FB8E4035C2A10300B786B2228539864F97D60F51BEE5DA1C" ma:contentTypeVersion="18" ma:contentTypeDescription="" ma:contentTypeScope="" ma:versionID="01b9b818bc21f1085556736d30ffd7a0">
  <xsd:schema xmlns:xsd="http://www.w3.org/2001/XMLSchema" xmlns:xs="http://www.w3.org/2001/XMLSchema" xmlns:p="http://schemas.microsoft.com/office/2006/metadata/properties" xmlns:ns2="33f37c51-05e1-400d-9a97-c5acab6b3936" targetNamespace="http://schemas.microsoft.com/office/2006/metadata/properties" ma:root="true" ma:fieldsID="f3227399a118f697fa96144e91dbe5ed" ns2:_="">
    <xsd:import namespace="33f37c51-05e1-400d-9a97-c5acab6b3936"/>
    <xsd:element name="properties">
      <xsd:complexType>
        <xsd:sequence>
          <xsd:element name="documentManagement">
            <xsd:complexType>
              <xsd:all>
                <xsd:element ref="ns2:Document_x0020_Type" minOccurs="0"/>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37c51-05e1-400d-9a97-c5acab6b3936" elementFormDefault="qualified">
    <xsd:import namespace="http://schemas.microsoft.com/office/2006/documentManagement/types"/>
    <xsd:import namespace="http://schemas.microsoft.com/office/infopath/2007/PartnerControls"/>
    <xsd:element name="Document_x0020_Type" ma:index="1" nillable="true" ma:displayName="Document Type" ma:list="{7677f2bd-a5aa-4591-9431-d34113f76acd}" ma:internalName="Document_x0020_Type" ma:showField="Title" ma:web="ca46f2ad-18e4-459f-92bf-33edc30103c2">
      <xsd:simpleType>
        <xsd:restriction base="dms:Lookup"/>
      </xsd:simpleType>
    </xsd:element>
    <xsd:element name="Description" ma:index="2" nillable="true" ma:displayName="Description" ma:internalName="Description">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697A31-1564-46AD-B8A9-28332EFD4269}">
  <ds:schemaRefs/>
</ds:datastoreItem>
</file>

<file path=customXml/itemProps2.xml><?xml version="1.0" encoding="utf-8"?>
<ds:datastoreItem xmlns:ds="http://schemas.openxmlformats.org/officeDocument/2006/customXml" ds:itemID="{8A9F6F36-6838-4731-AA49-DB38AB72374E}">
  <ds:schemaRefs/>
</ds:datastoreItem>
</file>

<file path=customXml/itemProps3.xml><?xml version="1.0" encoding="utf-8"?>
<ds:datastoreItem xmlns:ds="http://schemas.openxmlformats.org/officeDocument/2006/customXml" ds:itemID="{D5D0E864-6D67-4AD1-A239-F3D487C69769}">
  <ds:schemaRefs/>
</ds:datastoreItem>
</file>

<file path=customXml/itemProps4.xml><?xml version="1.0" encoding="utf-8"?>
<ds:datastoreItem xmlns:ds="http://schemas.openxmlformats.org/officeDocument/2006/customXml" ds:itemID="{D5977788-0658-48A0-A8F6-F864189D8C6A}">
  <ds:schemaRefs/>
</ds:datastoreItem>
</file>

<file path=customXml/itemProps5.xml><?xml version="1.0" encoding="utf-8"?>
<ds:datastoreItem xmlns:ds="http://schemas.openxmlformats.org/officeDocument/2006/customXml" ds:itemID="{B6E588ED-2607-439A-A740-CF0417AFD827}">
  <ds:schemaRefs/>
</ds:datastoreItem>
</file>

<file path=customXml/itemProps6.xml><?xml version="1.0" encoding="utf-8"?>
<ds:datastoreItem xmlns:ds="http://schemas.openxmlformats.org/officeDocument/2006/customXml" ds:itemID="{5359D90B-FF3E-4626-AE44-C1A0CCB3B2AD}">
  <ds:schemaRefs/>
</ds:datastoreItem>
</file>

<file path=docProps/app.xml><?xml version="1.0" encoding="utf-8"?>
<Properties xmlns="http://schemas.openxmlformats.org/officeDocument/2006/extended-properties" xmlns:vt="http://schemas.openxmlformats.org/officeDocument/2006/docPropsVTypes">
  <Template>Normal.dotm</Template>
  <Company>UCB Group</Company>
  <Pages>25</Pages>
  <Words>14445</Words>
  <Characters>15116</Characters>
  <Lines>284</Lines>
  <Paragraphs>244</Paragraphs>
  <TotalTime>0</TotalTime>
  <ScaleCrop>false</ScaleCrop>
  <LinksUpToDate>false</LinksUpToDate>
  <CharactersWithSpaces>15522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2025-03-14T06:39:00Z</dcterms:created>
  <dc:creator>© UCB Legal Affairs Department 2010</dc:creator>
  <cp:lastModifiedBy>Xxuanゞ</cp:lastModifiedBy>
  <cp:lastPrinted>2024-09-30T05:59:00Z</cp:lastPrinted>
  <dcterms:modified xsi:type="dcterms:W3CDTF">2025-03-17T05:25:23Z</dcterms:modified>
  <dc:title>Master Services Agreement (General Services)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UCB Legal Affairs</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Matter_x0020_Author">
    <vt:lpwstr>Drouin Stephane</vt:lpwstr>
  </property>
  <property fmtid="{D5CDD505-2E9C-101B-9397-08002B2CF9AE}" pid="6" name="display_urn:schemas-microsoft-com:office:office#Matter_x0020_Users">
    <vt:lpwstr>Chabanis Thomas;Cullen Lisa;Demir Elke;Downes Meghanne (Baker &amp; McKenzie);Duponchel Jeanne;Geysens Gaby;Greggersen Andrea;Grundberg Frida;Hugon Charlotte;Janke Soeren;Kanzok Dennis;Le Grelle Muriel;Lecocq Michaela;Legal Assistant Slough;Lezin Catherine;Mo</vt:lpwstr>
  </property>
  <property fmtid="{D5CDD505-2E9C-101B-9397-08002B2CF9AE}" pid="7" name="Location of the author">
    <vt:lpwstr>2</vt:lpwstr>
  </property>
  <property fmtid="{D5CDD505-2E9C-101B-9397-08002B2CF9AE}" pid="8" name="Matter Author">
    <vt:lpwstr>1465</vt:lpwstr>
  </property>
  <property fmtid="{D5CDD505-2E9C-101B-9397-08002B2CF9AE}" pid="9" name="Matter Category">
    <vt:lpwstr>3</vt:lpwstr>
  </property>
  <property fmtid="{D5CDD505-2E9C-101B-9397-08002B2CF9AE}" pid="10" name="Matter Users">
    <vt:lpwstr>40;#Chabanis Thomas;#46;#Cullen Lisa;#57;#Demir Elke;#58;#Downes Meghanne (Baker &amp; McKenzie);#48;#Duponchel Jeanne;#49;#Geysens Gaby;#61;#Greggersen Andrea;#62;#Grundberg Frida;#63;#Hugon Charlotte;#64;#Janke Soeren;#66;#Kanzok Dennis;#67;#Le Grelle Murie</vt:lpwstr>
  </property>
  <property fmtid="{D5CDD505-2E9C-101B-9397-08002B2CF9AE}" pid="11" name="Is new">
    <vt:lpwstr>No</vt:lpwstr>
  </property>
  <property fmtid="{D5CDD505-2E9C-101B-9397-08002B2CF9AE}" pid="12" name="Description">
    <vt:lpwstr/>
  </property>
  <property fmtid="{D5CDD505-2E9C-101B-9397-08002B2CF9AE}" pid="13" name="Document Type">
    <vt:lpwstr/>
  </property>
  <property fmtid="{D5CDD505-2E9C-101B-9397-08002B2CF9AE}" pid="14" name="Plato EditorId">
    <vt:lpwstr>2efd10b2-65de-4e01-b912-4d0668881de9</vt:lpwstr>
  </property>
  <property fmtid="{D5CDD505-2E9C-101B-9397-08002B2CF9AE}" pid="15" name="KSOProductBuildVer">
    <vt:lpwstr>2052-12.1.0.20305</vt:lpwstr>
  </property>
  <property fmtid="{D5CDD505-2E9C-101B-9397-08002B2CF9AE}" pid="16" name="ICV">
    <vt:lpwstr>664F63BC0E2E48598D9198BFAD495CA8_13</vt:lpwstr>
  </property>
  <property fmtid="{D5CDD505-2E9C-101B-9397-08002B2CF9AE}" pid="17" name="KSOTemplateDocerSaveRecord">
    <vt:lpwstr>eyJoZGlkIjoiMjg3ZjE1ZWY0MTg3NmE0ZTg2NjIxN2EyZTgwZTUxM2QiLCJ1c2VySWQiOiIyNTA2MjM4MDUifQ==</vt:lpwstr>
  </property>
</Properties>
</file>