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宋体" w:hAnsi="宋体" w:cs="宋体"/>
          <w:b/>
          <w:sz w:val="32"/>
          <w:szCs w:val="32"/>
        </w:rPr>
      </w:pPr>
      <w:r>
        <w:rPr>
          <w:rFonts w:hint="eastAsia" w:ascii="宋体" w:hAnsi="宋体" w:cs="宋体"/>
          <w:b/>
          <w:sz w:val="32"/>
          <w:szCs w:val="32"/>
        </w:rPr>
        <w:t>人才（劳务）派遣协议</w:t>
      </w:r>
    </w:p>
    <w:p>
      <w:pPr>
        <w:spacing w:line="400" w:lineRule="exact"/>
        <w:jc w:val="left"/>
        <w:rPr>
          <w:rFonts w:ascii="宋体" w:hAnsi="宋体" w:cs="宋体"/>
        </w:rPr>
      </w:pPr>
      <w:r>
        <w:rPr>
          <w:rFonts w:hint="eastAsia" w:ascii="宋体" w:hAnsi="宋体" w:cs="宋体"/>
        </w:rPr>
        <w:t>甲方：上海麦田公共关系咨询有限公司</w:t>
      </w:r>
    </w:p>
    <w:p>
      <w:pPr>
        <w:spacing w:line="400" w:lineRule="exact"/>
        <w:jc w:val="left"/>
        <w:rPr>
          <w:rFonts w:ascii="宋体" w:hAnsi="宋体" w:cs="宋体"/>
        </w:rPr>
      </w:pPr>
      <w:r>
        <w:rPr>
          <w:rFonts w:hint="eastAsia" w:ascii="宋体" w:hAnsi="宋体" w:cs="宋体"/>
        </w:rPr>
        <w:t>乙方：上海智联易才人才咨询有限公司(CTG)</w:t>
      </w:r>
    </w:p>
    <w:p>
      <w:pPr>
        <w:spacing w:after="60" w:line="360" w:lineRule="exact"/>
        <w:ind w:firstLine="420" w:firstLineChars="200"/>
        <w:jc w:val="left"/>
        <w:rPr>
          <w:rFonts w:ascii="宋体" w:hAnsi="宋体" w:cs="宋体"/>
        </w:rPr>
      </w:pPr>
      <w:r>
        <w:rPr>
          <w:rFonts w:hint="eastAsia" w:ascii="宋体" w:hAnsi="宋体" w:cs="宋体"/>
        </w:rPr>
        <w:t>根据《中华人民共和国民法典》、《中华人民共和国劳动法》、《中华人民共和国劳动合同法》（以下简称劳动合同法）等有关法律、法规的规定，甲乙双方本着平等互利、诚信合作的原则，经友好协商，就乙方为甲方提供人才（劳务）派遣服务相关事宜，签订本协议（以下简称本协议）。</w:t>
      </w:r>
    </w:p>
    <w:p>
      <w:pPr>
        <w:spacing w:after="60" w:line="360" w:lineRule="exact"/>
        <w:rPr>
          <w:rFonts w:ascii="宋体" w:hAnsi="宋体" w:cs="宋体"/>
          <w:b/>
          <w:bCs/>
        </w:rPr>
      </w:pPr>
    </w:p>
    <w:p>
      <w:pPr>
        <w:spacing w:after="60" w:line="360" w:lineRule="exact"/>
        <w:jc w:val="center"/>
        <w:rPr>
          <w:rFonts w:ascii="宋体" w:hAnsi="宋体" w:cs="宋体"/>
          <w:b/>
          <w:bCs/>
        </w:rPr>
      </w:pPr>
      <w:r>
        <w:rPr>
          <w:rFonts w:hint="eastAsia" w:ascii="宋体" w:hAnsi="宋体" w:cs="宋体"/>
          <w:b/>
          <w:bCs/>
        </w:rPr>
        <w:t>第一章</w:t>
      </w:r>
      <w:r>
        <w:rPr>
          <w:rFonts w:hint="eastAsia" w:ascii="宋体" w:hAnsi="宋体" w:cs="宋体"/>
          <w:b/>
          <w:bCs/>
          <w:szCs w:val="21"/>
        </w:rPr>
        <w:t xml:space="preserve">  </w:t>
      </w:r>
      <w:r>
        <w:rPr>
          <w:rFonts w:ascii="宋体" w:hAnsi="宋体" w:cs="宋体"/>
          <w:b/>
          <w:bCs/>
        </w:rPr>
        <w:t>总</w:t>
      </w:r>
      <w:r>
        <w:rPr>
          <w:rFonts w:hint="eastAsia" w:ascii="宋体" w:hAnsi="宋体" w:cs="宋体"/>
          <w:b/>
          <w:bCs/>
        </w:rPr>
        <w:t xml:space="preserve"> </w:t>
      </w:r>
      <w:r>
        <w:rPr>
          <w:rFonts w:ascii="宋体" w:hAnsi="宋体" w:cs="宋体"/>
          <w:b/>
          <w:bCs/>
        </w:rPr>
        <w:t>则</w:t>
      </w:r>
    </w:p>
    <w:p>
      <w:pPr>
        <w:numPr>
          <w:ilvl w:val="0"/>
          <w:numId w:val="1"/>
        </w:numPr>
        <w:spacing w:after="60" w:line="360" w:lineRule="exact"/>
        <w:jc w:val="left"/>
        <w:rPr>
          <w:rFonts w:ascii="宋体" w:hAnsi="宋体" w:cs="宋体"/>
        </w:rPr>
      </w:pPr>
      <w:r>
        <w:rPr>
          <w:rFonts w:hint="eastAsia" w:ascii="宋体" w:hAnsi="宋体" w:cs="宋体"/>
        </w:rPr>
        <w:t xml:space="preserve">  定义</w:t>
      </w:r>
    </w:p>
    <w:p>
      <w:pPr>
        <w:pStyle w:val="15"/>
        <w:numPr>
          <w:ilvl w:val="0"/>
          <w:numId w:val="2"/>
        </w:numPr>
        <w:tabs>
          <w:tab w:val="left" w:pos="420"/>
        </w:tabs>
        <w:spacing w:after="60" w:line="360" w:lineRule="exact"/>
        <w:ind w:firstLineChars="0"/>
        <w:rPr>
          <w:rFonts w:ascii="宋体" w:hAnsi="宋体" w:cs="宋体"/>
        </w:rPr>
      </w:pPr>
      <w:r>
        <w:rPr>
          <w:rFonts w:hint="eastAsia" w:ascii="宋体" w:hAnsi="宋体" w:cs="宋体"/>
        </w:rPr>
        <w:t>甲方：即接受派遣服务的用工单位。如甲方要求乙方为甲方关联企业提供与本协议内容相同的服务，应当向乙方提供需要服务的关联企业名单，甲方在本协议中的一切权利义务适用于名单中的关联企业。甲方了解并同意关联企业违反本协议所产生的责任后果由甲方承担。</w:t>
      </w:r>
    </w:p>
    <w:p>
      <w:pPr>
        <w:pStyle w:val="15"/>
        <w:numPr>
          <w:ilvl w:val="0"/>
          <w:numId w:val="2"/>
        </w:numPr>
        <w:tabs>
          <w:tab w:val="left" w:pos="420"/>
        </w:tabs>
        <w:spacing w:after="60" w:line="360" w:lineRule="exact"/>
        <w:ind w:firstLineChars="0"/>
        <w:rPr>
          <w:rFonts w:ascii="宋体" w:hAnsi="宋体" w:cs="宋体"/>
        </w:rPr>
      </w:pPr>
      <w:r>
        <w:rPr>
          <w:rFonts w:hint="eastAsia" w:ascii="宋体" w:hAnsi="宋体" w:cs="宋体"/>
        </w:rPr>
        <w:t>乙方：即提供派遣服务的人力资源公司。甲方了解并同意如服务范围涉及乙方所在地以外的省市，乙方有权委托其关联企业或其授权机构提供该地区的服务项目。乙方了解并同意关联企业或其授权机构违反本协议所产生的责任后果由乙方承担</w:t>
      </w:r>
      <w:r>
        <w:rPr>
          <w:rFonts w:hint="eastAsia" w:ascii="宋体" w:hAnsi="宋体" w:cs="宋体"/>
          <w:color w:val="FF0000"/>
        </w:rPr>
        <w:t>（乙方及关联企业名单详见附件三）</w:t>
      </w:r>
      <w:r>
        <w:rPr>
          <w:rFonts w:hint="eastAsia" w:ascii="宋体" w:hAnsi="宋体" w:cs="宋体"/>
          <w:color w:val="auto"/>
        </w:rPr>
        <w:t>。</w:t>
      </w:r>
    </w:p>
    <w:p>
      <w:pPr>
        <w:pStyle w:val="15"/>
        <w:numPr>
          <w:ilvl w:val="0"/>
          <w:numId w:val="2"/>
        </w:numPr>
        <w:tabs>
          <w:tab w:val="left" w:pos="420"/>
        </w:tabs>
        <w:spacing w:after="60" w:line="360" w:lineRule="exact"/>
        <w:ind w:firstLineChars="0"/>
        <w:rPr>
          <w:rFonts w:ascii="宋体" w:hAnsi="宋体" w:cs="宋体"/>
        </w:rPr>
      </w:pPr>
      <w:r>
        <w:rPr>
          <w:rFonts w:hint="eastAsia" w:ascii="宋体" w:hAnsi="宋体" w:cs="宋体"/>
        </w:rPr>
        <w:t xml:space="preserve">派遣员工（以下简称员工）：系指由甲方确定，与乙方建立劳动关系被派遣到甲方工作的人员。 </w:t>
      </w:r>
    </w:p>
    <w:p>
      <w:pPr>
        <w:pStyle w:val="15"/>
        <w:numPr>
          <w:ilvl w:val="0"/>
          <w:numId w:val="2"/>
        </w:numPr>
        <w:tabs>
          <w:tab w:val="left" w:pos="420"/>
        </w:tabs>
        <w:spacing w:after="60" w:line="360" w:lineRule="exact"/>
        <w:ind w:firstLineChars="0"/>
        <w:rPr>
          <w:rFonts w:ascii="宋体" w:hAnsi="宋体" w:cs="宋体"/>
        </w:rPr>
      </w:pPr>
      <w:r>
        <w:rPr>
          <w:rFonts w:hint="eastAsia" w:ascii="宋体" w:hAnsi="宋体" w:cs="宋体"/>
        </w:rPr>
        <w:t>总费用：系指乙方按照本协议约定的服务项目（见附件一）为甲方提供派遣服务，由甲方按照本协议约定支付给乙方的各项费用之总和，包括但不限于工资、社会保险（以下简称社保）、住房公积金（以下简称公积金）、残疾人就业保障金（以下简称残保金）、服务费等。其中：</w:t>
      </w:r>
    </w:p>
    <w:p>
      <w:pPr>
        <w:spacing w:after="60" w:line="360" w:lineRule="exact"/>
        <w:ind w:left="420"/>
        <w:rPr>
          <w:rFonts w:ascii="宋体" w:hAnsi="宋体" w:cs="宋体"/>
        </w:rPr>
      </w:pPr>
      <w:r>
        <w:rPr>
          <w:rFonts w:hint="eastAsia" w:ascii="宋体" w:hAnsi="宋体" w:cs="宋体"/>
        </w:rPr>
        <w:t>工资系指由乙方直接支付给员工的全部劳动报酬，或由乙方委托甲方支付给员工的全部劳动报酬。工资总额的组成内容按照国家规定和本协议的约定确定。</w:t>
      </w:r>
    </w:p>
    <w:p>
      <w:pPr>
        <w:spacing w:after="60" w:line="360" w:lineRule="exact"/>
        <w:ind w:left="420"/>
        <w:rPr>
          <w:rFonts w:ascii="宋体" w:hAnsi="宋体" w:cs="宋体"/>
        </w:rPr>
      </w:pPr>
      <w:r>
        <w:rPr>
          <w:rFonts w:hint="eastAsia" w:ascii="宋体" w:hAnsi="宋体" w:cs="宋体"/>
        </w:rPr>
        <w:t>服务费系指根据甲乙双方在本协议中约定由甲方每月按所使用乙方派遣人员的人数和收费标准向乙方支付的费用。</w:t>
      </w:r>
    </w:p>
    <w:p>
      <w:pPr>
        <w:pStyle w:val="15"/>
        <w:numPr>
          <w:ilvl w:val="0"/>
          <w:numId w:val="2"/>
        </w:numPr>
        <w:tabs>
          <w:tab w:val="left" w:pos="420"/>
        </w:tabs>
        <w:spacing w:after="60" w:line="360" w:lineRule="exact"/>
        <w:ind w:firstLineChars="0"/>
        <w:rPr>
          <w:rFonts w:ascii="宋体" w:hAnsi="宋体" w:cs="宋体"/>
        </w:rPr>
      </w:pPr>
      <w:r>
        <w:rPr>
          <w:rFonts w:hint="eastAsia" w:ascii="宋体" w:hAnsi="宋体" w:cs="宋体"/>
        </w:rPr>
        <w:t>基本保障费用：系指乙方依法维持及至终止或解除与该员工劳动合同所需的全部费用，并以实际发生为准。包括但不限于：依法维持劳动关系期间的待岗工资、社保、公积金、劳动合同终止或解除的经济补偿、赔偿金、医疗期待遇、女工三期待遇、停工留薪期工资及护理费用及一次性伤残就业补助金等工伤待遇等（具体以法律规定及乙方与员工订立的劳动合同为准）。</w:t>
      </w:r>
    </w:p>
    <w:p>
      <w:pPr>
        <w:pStyle w:val="15"/>
        <w:numPr>
          <w:ilvl w:val="0"/>
          <w:numId w:val="2"/>
        </w:numPr>
        <w:tabs>
          <w:tab w:val="left" w:pos="420"/>
        </w:tabs>
        <w:spacing w:after="60" w:line="360" w:lineRule="exact"/>
        <w:ind w:firstLineChars="0"/>
        <w:rPr>
          <w:rFonts w:ascii="宋体" w:hAnsi="宋体" w:cs="宋体"/>
        </w:rPr>
      </w:pPr>
      <w:r>
        <w:rPr>
          <w:rFonts w:hint="eastAsia" w:ascii="宋体" w:hAnsi="宋体" w:cs="宋体"/>
        </w:rPr>
        <w:t>客户端:指通过互联网登录的易智汇易才云平台的本地服务程序。</w:t>
      </w:r>
    </w:p>
    <w:p>
      <w:pPr>
        <w:pStyle w:val="15"/>
        <w:numPr>
          <w:ilvl w:val="0"/>
          <w:numId w:val="2"/>
        </w:numPr>
        <w:tabs>
          <w:tab w:val="left" w:pos="420"/>
        </w:tabs>
        <w:spacing w:after="60" w:line="360" w:lineRule="exact"/>
        <w:ind w:firstLineChars="0"/>
        <w:rPr>
          <w:rFonts w:ascii="宋体" w:hAnsi="宋体" w:cs="宋体"/>
        </w:rPr>
      </w:pPr>
      <w:r>
        <w:rPr>
          <w:rFonts w:hint="eastAsia" w:ascii="宋体" w:hAnsi="宋体" w:cs="宋体"/>
        </w:rPr>
        <w:t>账单：</w:t>
      </w:r>
      <w:r>
        <w:rPr>
          <w:rFonts w:hint="eastAsia" w:ascii="宋体" w:hAnsi="宋体" w:cs="宋体"/>
          <w:szCs w:val="21"/>
        </w:rPr>
        <w:t>指易智汇易才云平台程序系统定期生成的费用账目清单。</w:t>
      </w:r>
    </w:p>
    <w:p>
      <w:pPr>
        <w:spacing w:line="400" w:lineRule="exact"/>
        <w:jc w:val="center"/>
        <w:rPr>
          <w:rFonts w:ascii="宋体" w:hAnsi="宋体" w:cs="宋体"/>
          <w:b/>
          <w:bCs/>
        </w:rPr>
      </w:pPr>
    </w:p>
    <w:p>
      <w:pPr>
        <w:spacing w:after="40" w:line="360" w:lineRule="exact"/>
        <w:jc w:val="center"/>
        <w:rPr>
          <w:rFonts w:ascii="宋体" w:hAnsi="宋体" w:cs="宋体"/>
          <w:b/>
          <w:bCs/>
        </w:rPr>
      </w:pPr>
      <w:r>
        <w:rPr>
          <w:rFonts w:ascii="宋体" w:hAnsi="宋体" w:cs="宋体"/>
          <w:b/>
          <w:bCs/>
        </w:rPr>
        <w:t>第二章</w:t>
      </w:r>
      <w:r>
        <w:rPr>
          <w:rFonts w:hint="eastAsia" w:ascii="宋体" w:hAnsi="宋体" w:cs="宋体"/>
          <w:b/>
          <w:bCs/>
          <w:szCs w:val="21"/>
        </w:rPr>
        <w:t xml:space="preserve">  </w:t>
      </w:r>
      <w:r>
        <w:rPr>
          <w:rFonts w:hint="eastAsia" w:ascii="宋体" w:hAnsi="宋体" w:cs="宋体"/>
          <w:b/>
          <w:bCs/>
        </w:rPr>
        <w:t>双方权利义务</w:t>
      </w:r>
    </w:p>
    <w:p>
      <w:pPr>
        <w:numPr>
          <w:ilvl w:val="0"/>
          <w:numId w:val="1"/>
        </w:numPr>
        <w:spacing w:after="40" w:line="360" w:lineRule="exact"/>
        <w:jc w:val="left"/>
        <w:rPr>
          <w:rFonts w:ascii="宋体" w:hAnsi="宋体" w:cs="宋体"/>
        </w:rPr>
      </w:pPr>
      <w:r>
        <w:rPr>
          <w:rFonts w:hint="eastAsia" w:ascii="宋体" w:hAnsi="宋体" w:cs="宋体"/>
        </w:rPr>
        <w:t xml:space="preserve"> </w:t>
      </w:r>
      <w:r>
        <w:rPr>
          <w:rFonts w:hint="eastAsia" w:ascii="宋体" w:hAnsi="宋体" w:cs="宋体"/>
          <w:b/>
        </w:rPr>
        <w:t xml:space="preserve"> </w:t>
      </w:r>
      <w:r>
        <w:rPr>
          <w:rFonts w:hint="eastAsia" w:ascii="宋体" w:hAnsi="宋体" w:cs="宋体"/>
        </w:rPr>
        <w:t>甲方的权利及义务</w:t>
      </w:r>
    </w:p>
    <w:p>
      <w:pPr>
        <w:pStyle w:val="15"/>
        <w:numPr>
          <w:ilvl w:val="0"/>
          <w:numId w:val="3"/>
        </w:numPr>
        <w:tabs>
          <w:tab w:val="left" w:pos="420"/>
        </w:tabs>
        <w:spacing w:after="40" w:line="360" w:lineRule="exact"/>
        <w:ind w:firstLineChars="0"/>
        <w:jc w:val="left"/>
        <w:rPr>
          <w:rFonts w:ascii="宋体" w:hAnsi="宋体" w:cs="宋体"/>
        </w:rPr>
      </w:pPr>
      <w:r>
        <w:rPr>
          <w:rFonts w:hint="eastAsia" w:ascii="宋体" w:hAnsi="宋体" w:cs="宋体"/>
        </w:rPr>
        <w:t>甲方可以根据自身需要与员工另行签订其它协议，以约定双方的权利义务，但协议内容不得与本协议相悖。</w:t>
      </w:r>
    </w:p>
    <w:p>
      <w:pPr>
        <w:pStyle w:val="15"/>
        <w:numPr>
          <w:ilvl w:val="0"/>
          <w:numId w:val="3"/>
        </w:numPr>
        <w:tabs>
          <w:tab w:val="left" w:pos="420"/>
        </w:tabs>
        <w:spacing w:after="40" w:line="360" w:lineRule="exact"/>
        <w:ind w:firstLineChars="0"/>
        <w:rPr>
          <w:rFonts w:ascii="宋体" w:hAnsi="宋体" w:cs="宋体"/>
        </w:rPr>
      </w:pPr>
      <w:r>
        <w:rPr>
          <w:rFonts w:hint="eastAsia" w:ascii="宋体" w:hAnsi="宋体" w:cs="宋体"/>
        </w:rPr>
        <w:t>甲方有权依法制定企业各项劳动管理的规章制度，并通过一定的方式向员工公示。</w:t>
      </w:r>
    </w:p>
    <w:p>
      <w:pPr>
        <w:pStyle w:val="15"/>
        <w:numPr>
          <w:ilvl w:val="0"/>
          <w:numId w:val="3"/>
        </w:numPr>
        <w:tabs>
          <w:tab w:val="left" w:pos="420"/>
        </w:tabs>
        <w:spacing w:after="40" w:line="360" w:lineRule="exact"/>
        <w:ind w:firstLineChars="0"/>
        <w:rPr>
          <w:rFonts w:ascii="宋体" w:hAnsi="宋体" w:cs="宋体"/>
        </w:rPr>
      </w:pPr>
      <w:r>
        <w:rPr>
          <w:rFonts w:hint="eastAsia" w:ascii="宋体" w:hAnsi="宋体" w:cs="宋体"/>
        </w:rPr>
        <w:t>甲方应按照本协议约定的内容和时间及时向乙方支付各项费用。</w:t>
      </w:r>
    </w:p>
    <w:p>
      <w:pPr>
        <w:pStyle w:val="15"/>
        <w:numPr>
          <w:ilvl w:val="0"/>
          <w:numId w:val="3"/>
        </w:numPr>
        <w:tabs>
          <w:tab w:val="left" w:pos="420"/>
        </w:tabs>
        <w:spacing w:after="40" w:line="360" w:lineRule="exact"/>
        <w:ind w:firstLineChars="0"/>
        <w:rPr>
          <w:rFonts w:ascii="宋体" w:hAnsi="宋体" w:cs="宋体"/>
        </w:rPr>
      </w:pPr>
      <w:r>
        <w:rPr>
          <w:rFonts w:hint="eastAsia" w:ascii="宋体" w:hAnsi="宋体" w:cs="宋体"/>
        </w:rPr>
        <w:t>甲方应严格按照法律规定，合法用工，包括但不限于：提供劳动条件、劳动保护和执行工时制度、加班制度等。</w:t>
      </w:r>
    </w:p>
    <w:p>
      <w:pPr>
        <w:pStyle w:val="15"/>
        <w:numPr>
          <w:ilvl w:val="0"/>
          <w:numId w:val="3"/>
        </w:numPr>
        <w:tabs>
          <w:tab w:val="left" w:pos="420"/>
        </w:tabs>
        <w:spacing w:after="40" w:line="360" w:lineRule="exact"/>
        <w:ind w:firstLineChars="0"/>
        <w:rPr>
          <w:rFonts w:ascii="宋体" w:hAnsi="宋体" w:cs="宋体"/>
        </w:rPr>
      </w:pPr>
      <w:r>
        <w:rPr>
          <w:rFonts w:hint="eastAsia" w:ascii="宋体" w:hAnsi="宋体" w:cs="宋体"/>
        </w:rPr>
        <w:t>员工在甲方工作期间，甲方作为使用员工的用工单位，应承担法律、法规或地方政府规定对员工除工资以外的其他费用。但甲乙双方另行约定的除外。</w:t>
      </w:r>
    </w:p>
    <w:p>
      <w:pPr>
        <w:pStyle w:val="15"/>
        <w:numPr>
          <w:ilvl w:val="0"/>
          <w:numId w:val="3"/>
        </w:numPr>
        <w:tabs>
          <w:tab w:val="left" w:pos="420"/>
          <w:tab w:val="left" w:pos="900"/>
          <w:tab w:val="left" w:pos="1080"/>
        </w:tabs>
        <w:spacing w:after="40" w:line="360" w:lineRule="exact"/>
        <w:ind w:firstLineChars="0"/>
        <w:rPr>
          <w:rFonts w:ascii="宋体" w:hAnsi="宋体" w:cs="宋体"/>
        </w:rPr>
      </w:pPr>
      <w:r>
        <w:rPr>
          <w:rFonts w:hint="eastAsia" w:ascii="宋体" w:hAnsi="宋体" w:cs="宋体"/>
        </w:rPr>
        <w:t>为保证甲乙双方用工的合法性，甲方应督促员工至少在其入职前十个工作日内办理符合用工要求的各项手续。甲方每月提供给乙方的考勤、工资单中出现有未在乙方办理招用手续的人员或如员工未按甲乙方的督促提供相应入职手续，视为甲方自行用工，涉及相关责任与费用由甲方自行承担。</w:t>
      </w:r>
    </w:p>
    <w:p>
      <w:pPr>
        <w:pStyle w:val="15"/>
        <w:numPr>
          <w:ilvl w:val="0"/>
          <w:numId w:val="3"/>
        </w:numPr>
        <w:tabs>
          <w:tab w:val="left" w:pos="420"/>
          <w:tab w:val="left" w:pos="900"/>
          <w:tab w:val="left" w:pos="1080"/>
        </w:tabs>
        <w:spacing w:after="40" w:line="360" w:lineRule="exact"/>
        <w:ind w:firstLineChars="0"/>
        <w:rPr>
          <w:rFonts w:ascii="宋体" w:hAnsi="宋体" w:cs="宋体"/>
        </w:rPr>
      </w:pPr>
      <w:r>
        <w:rPr>
          <w:rFonts w:hint="eastAsia" w:ascii="宋体" w:hAnsi="宋体" w:cs="宋体"/>
        </w:rPr>
        <w:t>员工在甲方工作期间，甲方有权根据甲方申报审批的岗位对员工实行特殊工时。</w:t>
      </w:r>
    </w:p>
    <w:p>
      <w:pPr>
        <w:pStyle w:val="15"/>
        <w:numPr>
          <w:ilvl w:val="0"/>
          <w:numId w:val="3"/>
        </w:numPr>
        <w:tabs>
          <w:tab w:val="left" w:pos="420"/>
          <w:tab w:val="left" w:pos="900"/>
          <w:tab w:val="left" w:pos="1080"/>
        </w:tabs>
        <w:spacing w:after="40" w:line="360" w:lineRule="exact"/>
        <w:ind w:firstLineChars="0"/>
        <w:rPr>
          <w:rFonts w:ascii="宋体" w:hAnsi="宋体" w:cs="宋体"/>
        </w:rPr>
      </w:pPr>
      <w:r>
        <w:rPr>
          <w:rFonts w:hint="eastAsia" w:ascii="宋体" w:hAnsi="宋体" w:cs="宋体"/>
          <w:szCs w:val="21"/>
        </w:rPr>
        <w:t>乙方将甲方客户端的登陆名和密码告知甲方后，甲方应按照附件二（《易智汇易才云平台操作手册》，甲方确认在签署本协议的同时已收到并知悉其内容） 的要求进行操作，</w:t>
      </w:r>
      <w:r>
        <w:rPr>
          <w:rFonts w:hint="eastAsia" w:ascii="宋体" w:hAnsi="宋体" w:cs="宋体"/>
        </w:rPr>
        <w:t>甲方应填报所需派遣人员的姓名、劳动合同期限、工资、派遣起始日期、派遣期限、试用期、实行的工时制度、社保及公积金基数、总费用金额、社保及公积金缴纳地点等内容；报送增减员时在客户端全面准确填写，</w:t>
      </w:r>
      <w:r>
        <w:rPr>
          <w:rFonts w:hint="eastAsia" w:ascii="宋体" w:hAnsi="宋体" w:cs="宋体"/>
          <w:szCs w:val="21"/>
        </w:rPr>
        <w:t>并对在客户端报送数据的真实性和准确性负责（如甲方对提交的信息有疑问或需要修改的，应在报送增员后一个工作日内与乙方工作人员联系，修改相关信息）。</w:t>
      </w:r>
      <w:r>
        <w:rPr>
          <w:rFonts w:hint="eastAsia" w:ascii="宋体" w:hAnsi="宋体" w:cs="宋体"/>
        </w:rPr>
        <w:t>客户端报送增减员信息并不能代替甲方同意派遣或退回员工的书面通知。如甲方没有向乙方提供退回员工的书面通知书，由此引起的责任由甲方承担。</w:t>
      </w:r>
    </w:p>
    <w:p>
      <w:pPr>
        <w:pStyle w:val="15"/>
        <w:numPr>
          <w:ilvl w:val="0"/>
          <w:numId w:val="3"/>
        </w:numPr>
        <w:tabs>
          <w:tab w:val="left" w:pos="420"/>
          <w:tab w:val="left" w:pos="900"/>
          <w:tab w:val="left" w:pos="1080"/>
        </w:tabs>
        <w:spacing w:after="40" w:line="360" w:lineRule="exact"/>
        <w:ind w:firstLineChars="0"/>
        <w:rPr>
          <w:rFonts w:ascii="宋体" w:hAnsi="宋体" w:cs="宋体"/>
        </w:rPr>
      </w:pPr>
      <w:r>
        <w:rPr>
          <w:rFonts w:hint="eastAsia" w:ascii="宋体" w:hAnsi="宋体" w:cs="宋体"/>
        </w:rPr>
        <w:t>甲方使用乙方员工的岗位及数量应符合法律法规规定的岗位性质及用工比例要求，否则由此产生的责任由甲方承担。</w:t>
      </w:r>
    </w:p>
    <w:p>
      <w:pPr>
        <w:pStyle w:val="15"/>
        <w:numPr>
          <w:ilvl w:val="0"/>
          <w:numId w:val="3"/>
        </w:numPr>
        <w:tabs>
          <w:tab w:val="left" w:pos="420"/>
          <w:tab w:val="left" w:pos="900"/>
          <w:tab w:val="left" w:pos="1080"/>
        </w:tabs>
        <w:spacing w:after="40" w:line="360" w:lineRule="exact"/>
        <w:ind w:firstLineChars="0"/>
        <w:rPr>
          <w:rFonts w:ascii="宋体" w:hAnsi="宋体" w:cs="宋体"/>
        </w:rPr>
      </w:pPr>
      <w:r>
        <w:rPr>
          <w:rFonts w:hint="eastAsia" w:ascii="宋体" w:hAnsi="宋体" w:cs="宋体"/>
        </w:rPr>
        <w:t>乙方派遣至甲方的员工距离退休年龄不足二年的，双方协商退休办理事宜。在乙方能够办理员工退休手续的前提下，如甲方需要为员工办理退休手续，甲方同意按照乙方的收费标准及当地政策向乙方支付员工退休所涉及的各项费用（如服务性收费、保险费、补缴费、存档费等），若甲方不同意为员工办理退休或乙方不能为员工办理退休的，甲方同意承担由于员工退休引起的法律法规规定应由用人单位承担的各项责任。</w:t>
      </w:r>
    </w:p>
    <w:p>
      <w:pPr>
        <w:pStyle w:val="15"/>
        <w:numPr>
          <w:ilvl w:val="0"/>
          <w:numId w:val="3"/>
        </w:numPr>
        <w:tabs>
          <w:tab w:val="left" w:pos="420"/>
          <w:tab w:val="left" w:pos="900"/>
          <w:tab w:val="left" w:pos="1080"/>
        </w:tabs>
        <w:spacing w:after="40" w:line="360" w:lineRule="exact"/>
        <w:ind w:firstLineChars="0"/>
        <w:rPr>
          <w:rFonts w:ascii="宋体" w:hAnsi="宋体" w:cs="宋体"/>
        </w:rPr>
      </w:pPr>
      <w:r>
        <w:rPr>
          <w:rFonts w:hint="eastAsia" w:ascii="宋体" w:hAnsi="宋体" w:cs="宋体"/>
        </w:rPr>
        <w:t>甲方应依照乙方员工所在城市残保金政策规定及操作要求，按照乙方员工数量向乙方支付残保金。如甲方未向乙方支付的，由此产生的相关费用（包括但不限于补缴金额、滞纳金、行政罚款）由甲方承担。</w:t>
      </w:r>
    </w:p>
    <w:p>
      <w:pPr>
        <w:numPr>
          <w:ilvl w:val="0"/>
          <w:numId w:val="1"/>
        </w:numPr>
        <w:spacing w:line="400" w:lineRule="exact"/>
        <w:jc w:val="left"/>
        <w:rPr>
          <w:rFonts w:ascii="宋体" w:hAnsi="宋体" w:cs="宋体"/>
        </w:rPr>
      </w:pPr>
      <w:r>
        <w:rPr>
          <w:rFonts w:hint="eastAsia" w:ascii="宋体" w:hAnsi="宋体" w:cs="宋体"/>
        </w:rPr>
        <w:t xml:space="preserve">  乙方的权利及义务</w:t>
      </w:r>
    </w:p>
    <w:p>
      <w:pPr>
        <w:numPr>
          <w:ilvl w:val="1"/>
          <w:numId w:val="4"/>
        </w:numPr>
        <w:tabs>
          <w:tab w:val="clear" w:pos="840"/>
        </w:tabs>
        <w:spacing w:line="400" w:lineRule="exact"/>
        <w:ind w:left="0" w:firstLine="0"/>
        <w:rPr>
          <w:rFonts w:ascii="宋体" w:hAnsi="宋体" w:cs="宋体"/>
        </w:rPr>
      </w:pPr>
      <w:r>
        <w:rPr>
          <w:rFonts w:hint="eastAsia" w:ascii="宋体" w:hAnsi="宋体" w:cs="宋体"/>
        </w:rPr>
        <w:t>乙方有权对甲方侵害员工合法权益的行为进行交涉并提出意见和建议。如乙方已经对甲方的违法或不合理行为提出意见，而甲方不予采纳时甲方应独立承担其行为引起的法律责任。　</w:t>
      </w:r>
    </w:p>
    <w:p>
      <w:pPr>
        <w:numPr>
          <w:ilvl w:val="1"/>
          <w:numId w:val="4"/>
        </w:numPr>
        <w:tabs>
          <w:tab w:val="clear" w:pos="840"/>
        </w:tabs>
        <w:spacing w:line="400" w:lineRule="exact"/>
        <w:ind w:left="0" w:firstLine="0"/>
        <w:rPr>
          <w:rFonts w:ascii="宋体" w:hAnsi="宋体" w:cs="宋体"/>
        </w:rPr>
      </w:pPr>
      <w:r>
        <w:rPr>
          <w:rFonts w:hint="eastAsia" w:ascii="宋体" w:hAnsi="宋体" w:cs="宋体"/>
        </w:rPr>
        <w:t>乙方应在接到甲方在客户端报送增减员信息通知后，与派遣到甲方工作的员工依法签订劳动合同并办理相关手续，甲方应给予必要的协助。因员工劳动用工手续不符合规定致使无法签订劳动合同、无法正常缴纳社保所产生的后果，乙方不承担责任。</w:t>
      </w:r>
    </w:p>
    <w:p>
      <w:pPr>
        <w:numPr>
          <w:ilvl w:val="1"/>
          <w:numId w:val="4"/>
        </w:numPr>
        <w:tabs>
          <w:tab w:val="clear" w:pos="840"/>
        </w:tabs>
        <w:spacing w:line="400" w:lineRule="exact"/>
        <w:ind w:left="0" w:firstLine="0"/>
        <w:rPr>
          <w:rFonts w:ascii="宋体" w:hAnsi="宋体" w:cs="宋体"/>
        </w:rPr>
      </w:pPr>
      <w:r>
        <w:rPr>
          <w:rFonts w:hint="eastAsia" w:ascii="宋体" w:hAnsi="宋体" w:cs="宋体"/>
        </w:rPr>
        <w:t>乙方应按照本协议的服务项目，向甲方提供各类由甲方选定的服务。</w:t>
      </w:r>
    </w:p>
    <w:p>
      <w:pPr>
        <w:numPr>
          <w:ilvl w:val="1"/>
          <w:numId w:val="4"/>
        </w:numPr>
        <w:tabs>
          <w:tab w:val="clear" w:pos="840"/>
        </w:tabs>
        <w:spacing w:line="400" w:lineRule="exact"/>
        <w:ind w:left="0" w:firstLine="0"/>
        <w:rPr>
          <w:rFonts w:ascii="宋体" w:hAnsi="宋体" w:cs="宋体"/>
        </w:rPr>
      </w:pPr>
      <w:r>
        <w:rPr>
          <w:rFonts w:hint="eastAsia" w:ascii="宋体" w:hAnsi="宋体" w:cs="宋体"/>
        </w:rPr>
        <w:t>乙方应按照本协议约定，在收到甲方支付的总费用后，及时足额向员工支付工资和相关的费用；并按照国家规定和当地政府规定的时间及时为员工缴纳社保及公积金。因甲方迟延支付或不足额支付总费用致使乙方未能及时为甲方和员工提供相关服务所产生的后果，由甲方承担。</w:t>
      </w:r>
    </w:p>
    <w:p>
      <w:pPr>
        <w:numPr>
          <w:ilvl w:val="1"/>
          <w:numId w:val="4"/>
        </w:numPr>
        <w:tabs>
          <w:tab w:val="clear" w:pos="840"/>
        </w:tabs>
        <w:spacing w:line="400" w:lineRule="exact"/>
        <w:ind w:left="0" w:firstLine="0"/>
        <w:rPr>
          <w:rFonts w:ascii="宋体" w:hAnsi="宋体" w:cs="宋体"/>
        </w:rPr>
      </w:pPr>
      <w:r>
        <w:rPr>
          <w:rFonts w:hint="eastAsia" w:ascii="宋体" w:hAnsi="宋体" w:cs="宋体"/>
        </w:rPr>
        <w:t>在本协议履行期间，凡员工与甲方或乙方发生劳动争议纠纷的，双方均负有相互告知协助义务，并共同妥善处理。</w:t>
      </w:r>
    </w:p>
    <w:p>
      <w:pPr>
        <w:numPr>
          <w:ilvl w:val="1"/>
          <w:numId w:val="4"/>
        </w:numPr>
        <w:tabs>
          <w:tab w:val="clear" w:pos="840"/>
        </w:tabs>
        <w:spacing w:line="400" w:lineRule="exact"/>
        <w:ind w:left="0" w:firstLine="0"/>
        <w:rPr>
          <w:rFonts w:ascii="宋体" w:hAnsi="宋体" w:cs="宋体"/>
        </w:rPr>
      </w:pPr>
      <w:r>
        <w:rPr>
          <w:rFonts w:hint="eastAsia" w:ascii="宋体" w:hAnsi="宋体" w:cs="宋体"/>
        </w:rPr>
        <w:t>对甲方提出的要求存在法律风险的，乙方可进行提示，为甲方提供合理化建议。</w:t>
      </w:r>
    </w:p>
    <w:p>
      <w:pPr>
        <w:numPr>
          <w:ilvl w:val="0"/>
          <w:numId w:val="1"/>
        </w:numPr>
        <w:spacing w:after="40" w:line="360" w:lineRule="exact"/>
        <w:jc w:val="left"/>
        <w:rPr>
          <w:rFonts w:ascii="宋体" w:hAnsi="宋体" w:cs="宋体"/>
        </w:rPr>
      </w:pPr>
      <w:r>
        <w:rPr>
          <w:rFonts w:hint="eastAsia" w:ascii="宋体" w:hAnsi="宋体" w:cs="宋体"/>
        </w:rPr>
        <w:t xml:space="preserve">  双方共同享有的权利和承担的义务</w:t>
      </w:r>
    </w:p>
    <w:p>
      <w:pPr>
        <w:pStyle w:val="15"/>
        <w:numPr>
          <w:ilvl w:val="0"/>
          <w:numId w:val="5"/>
        </w:numPr>
        <w:tabs>
          <w:tab w:val="left" w:pos="420"/>
        </w:tabs>
        <w:spacing w:after="40" w:line="360" w:lineRule="exact"/>
        <w:ind w:firstLineChars="0"/>
        <w:rPr>
          <w:rFonts w:ascii="宋体" w:hAnsi="宋体" w:cs="宋体"/>
        </w:rPr>
      </w:pPr>
      <w:r>
        <w:rPr>
          <w:rFonts w:hint="eastAsia" w:ascii="宋体" w:hAnsi="宋体" w:cs="宋体"/>
        </w:rPr>
        <w:t>甲乙双方对本协议内容及相关信息负有保密的义务。</w:t>
      </w:r>
    </w:p>
    <w:p>
      <w:pPr>
        <w:pStyle w:val="15"/>
        <w:numPr>
          <w:ilvl w:val="0"/>
          <w:numId w:val="5"/>
        </w:numPr>
        <w:tabs>
          <w:tab w:val="left" w:pos="420"/>
        </w:tabs>
        <w:spacing w:after="40" w:line="360" w:lineRule="exact"/>
        <w:ind w:firstLineChars="0"/>
        <w:rPr>
          <w:rFonts w:ascii="宋体" w:hAnsi="宋体" w:cs="宋体"/>
        </w:rPr>
      </w:pPr>
      <w:r>
        <w:rPr>
          <w:rFonts w:hint="eastAsia" w:ascii="宋体" w:hAnsi="宋体" w:cs="宋体"/>
        </w:rPr>
        <w:t>甲乙双方均有义务将本协议中直接涉及员工利益的内容，向员工如实告知。</w:t>
      </w:r>
    </w:p>
    <w:p>
      <w:pPr>
        <w:pStyle w:val="15"/>
        <w:numPr>
          <w:ilvl w:val="0"/>
          <w:numId w:val="5"/>
        </w:numPr>
        <w:tabs>
          <w:tab w:val="left" w:pos="420"/>
        </w:tabs>
        <w:spacing w:after="40" w:line="360" w:lineRule="exact"/>
        <w:ind w:firstLineChars="0"/>
        <w:rPr>
          <w:rFonts w:ascii="宋体" w:hAnsi="宋体" w:cs="宋体"/>
        </w:rPr>
      </w:pPr>
      <w:r>
        <w:rPr>
          <w:rFonts w:hint="eastAsia" w:ascii="宋体" w:hAnsi="宋体" w:cs="宋体"/>
        </w:rPr>
        <w:t>甲乙双方在本协议履行过程中相互发出或者提供的所有通知、文件、文书、资料等，均可以当面交付或以书面形式按本协议所列明的通讯地址履行送达义务。任何一方主体资格发生变化（包括变更、分立、注销等）和搬迁办公地址或变更联系方式，均应在七日内提前以书面形式通知对方。因未及时通知而造成损失的，由负有通知义务的一方承担。</w:t>
      </w:r>
    </w:p>
    <w:p>
      <w:pPr>
        <w:pStyle w:val="15"/>
        <w:numPr>
          <w:ilvl w:val="0"/>
          <w:numId w:val="5"/>
        </w:numPr>
        <w:tabs>
          <w:tab w:val="left" w:pos="420"/>
        </w:tabs>
        <w:spacing w:after="40" w:line="360" w:lineRule="exact"/>
        <w:ind w:firstLineChars="0"/>
        <w:rPr>
          <w:rFonts w:ascii="宋体" w:hAnsi="宋体" w:cs="宋体"/>
        </w:rPr>
      </w:pPr>
      <w:r>
        <w:rPr>
          <w:rFonts w:hint="eastAsia" w:ascii="宋体" w:hAnsi="宋体" w:cs="宋体"/>
        </w:rPr>
        <w:t>员工的劳动合同期限应和派遣期限一致，不得低于二年。员工符合签署无固定期限劳动合同条件且要求乙方与其签署无固定期限劳动合同的，乙方应征求甲方意见，除甲方明确拒绝外，视为甲方同意乙方与员工签署无固定期限劳动合同。</w:t>
      </w:r>
    </w:p>
    <w:p>
      <w:pPr>
        <w:spacing w:line="400" w:lineRule="exact"/>
        <w:rPr>
          <w:rFonts w:ascii="宋体" w:hAnsi="宋体" w:cs="宋体"/>
          <w:b/>
          <w:bCs/>
        </w:rPr>
      </w:pPr>
    </w:p>
    <w:p>
      <w:pPr>
        <w:spacing w:line="400" w:lineRule="exact"/>
        <w:jc w:val="center"/>
        <w:rPr>
          <w:rFonts w:ascii="宋体" w:hAnsi="宋体" w:cs="宋体"/>
          <w:b/>
          <w:bCs/>
        </w:rPr>
      </w:pPr>
      <w:r>
        <w:rPr>
          <w:rFonts w:ascii="宋体" w:hAnsi="宋体" w:cs="宋体"/>
          <w:b/>
          <w:bCs/>
        </w:rPr>
        <w:t>第三章</w:t>
      </w:r>
      <w:r>
        <w:rPr>
          <w:rFonts w:hint="eastAsia" w:ascii="宋体" w:hAnsi="宋体" w:cs="宋体"/>
          <w:b/>
          <w:bCs/>
          <w:szCs w:val="21"/>
        </w:rPr>
        <w:t xml:space="preserve">  </w:t>
      </w:r>
      <w:r>
        <w:rPr>
          <w:rFonts w:ascii="宋体" w:hAnsi="宋体" w:cs="宋体"/>
          <w:b/>
          <w:bCs/>
        </w:rPr>
        <w:t>员工的服务</w:t>
      </w:r>
    </w:p>
    <w:p>
      <w:pPr>
        <w:numPr>
          <w:ilvl w:val="0"/>
          <w:numId w:val="1"/>
        </w:numPr>
        <w:spacing w:after="60" w:line="360" w:lineRule="exact"/>
        <w:jc w:val="left"/>
        <w:rPr>
          <w:rFonts w:ascii="宋体" w:hAnsi="宋体" w:cs="宋体"/>
        </w:rPr>
      </w:pPr>
      <w:r>
        <w:rPr>
          <w:rFonts w:hint="eastAsia" w:ascii="宋体" w:hAnsi="宋体" w:cs="宋体"/>
        </w:rPr>
        <w:t xml:space="preserve">  离职</w:t>
      </w:r>
    </w:p>
    <w:p>
      <w:pPr>
        <w:pStyle w:val="15"/>
        <w:numPr>
          <w:ilvl w:val="0"/>
          <w:numId w:val="6"/>
        </w:numPr>
        <w:tabs>
          <w:tab w:val="left" w:pos="420"/>
          <w:tab w:val="left" w:pos="900"/>
          <w:tab w:val="left" w:pos="1080"/>
        </w:tabs>
        <w:spacing w:after="60" w:line="360" w:lineRule="exact"/>
        <w:ind w:firstLineChars="0"/>
        <w:rPr>
          <w:rFonts w:ascii="宋体" w:hAnsi="宋体" w:cs="宋体"/>
        </w:rPr>
      </w:pPr>
      <w:r>
        <w:rPr>
          <w:rFonts w:hint="eastAsia" w:ascii="宋体" w:hAnsi="宋体" w:cs="宋体"/>
        </w:rPr>
        <w:t>员工有权提前30日（试用期内提前3日）以书面形式提出解除劳动合同，如甲方收到员工辞职信后应及时交付至乙方，如甲方不能提供辞职信真实原件而产生的责任由甲方承担。</w:t>
      </w:r>
    </w:p>
    <w:p>
      <w:pPr>
        <w:pStyle w:val="15"/>
        <w:numPr>
          <w:ilvl w:val="0"/>
          <w:numId w:val="6"/>
        </w:numPr>
        <w:tabs>
          <w:tab w:val="left" w:pos="420"/>
          <w:tab w:val="left" w:pos="900"/>
          <w:tab w:val="left" w:pos="1080"/>
        </w:tabs>
        <w:spacing w:after="60" w:line="360" w:lineRule="exact"/>
        <w:ind w:firstLineChars="0"/>
        <w:jc w:val="left"/>
        <w:rPr>
          <w:rFonts w:ascii="宋体" w:hAnsi="宋体" w:cs="宋体"/>
        </w:rPr>
      </w:pPr>
      <w:r>
        <w:rPr>
          <w:rFonts w:hint="eastAsia" w:ascii="宋体" w:hAnsi="宋体" w:cs="宋体"/>
        </w:rPr>
        <w:t>员工依据劳动合同法第三十八条的规定解除劳动关系时，甲乙双方应根据过错责任承担相应的费用。</w:t>
      </w:r>
    </w:p>
    <w:p>
      <w:pPr>
        <w:numPr>
          <w:ilvl w:val="0"/>
          <w:numId w:val="1"/>
        </w:numPr>
        <w:spacing w:after="60" w:line="360" w:lineRule="exact"/>
        <w:rPr>
          <w:rFonts w:ascii="宋体" w:hAnsi="宋体" w:cs="宋体"/>
        </w:rPr>
      </w:pPr>
      <w:r>
        <w:rPr>
          <w:rFonts w:hint="eastAsia" w:ascii="宋体" w:hAnsi="宋体" w:cs="宋体"/>
        </w:rPr>
        <w:t xml:space="preserve"> </w:t>
      </w:r>
      <w:r>
        <w:rPr>
          <w:rFonts w:hint="eastAsia" w:ascii="宋体" w:hAnsi="宋体" w:cs="宋体"/>
          <w:b/>
        </w:rPr>
        <w:t xml:space="preserve"> </w:t>
      </w:r>
      <w:r>
        <w:rPr>
          <w:rFonts w:hint="eastAsia" w:ascii="宋体" w:hAnsi="宋体" w:cs="宋体"/>
        </w:rPr>
        <w:t>员工社保等福利待遇处理</w:t>
      </w:r>
    </w:p>
    <w:p>
      <w:pPr>
        <w:pStyle w:val="15"/>
        <w:numPr>
          <w:ilvl w:val="0"/>
          <w:numId w:val="7"/>
        </w:numPr>
        <w:spacing w:after="60" w:line="360" w:lineRule="exact"/>
        <w:ind w:firstLineChars="0"/>
        <w:jc w:val="left"/>
        <w:rPr>
          <w:rFonts w:ascii="宋体" w:hAnsi="宋体" w:cs="宋体"/>
        </w:rPr>
      </w:pPr>
      <w:r>
        <w:rPr>
          <w:rFonts w:hint="eastAsia" w:ascii="宋体" w:hAnsi="宋体" w:cs="宋体"/>
          <w:szCs w:val="21"/>
        </w:rPr>
        <w:t>员工的社保及公积金的缴纳基数、地点、参加社保的险种及公积金的比例由甲方指定，指定方式为甲方向乙方</w:t>
      </w:r>
      <w:r>
        <w:rPr>
          <w:rFonts w:hint="eastAsia" w:ascii="宋体" w:hAnsi="宋体" w:cs="宋体"/>
        </w:rPr>
        <w:t>报送增减员时在客户端全面准确填写</w:t>
      </w:r>
      <w:r>
        <w:rPr>
          <w:rFonts w:hint="eastAsia" w:ascii="宋体" w:hAnsi="宋体" w:cs="宋体"/>
          <w:szCs w:val="21"/>
        </w:rPr>
        <w:t>员工信息，乙方根据当地政策法规向甲方提出建议，供甲方参考。若因甲方原因造成员工参加社保及公积金的缴纳基数与实际工资数额不符，或社保缴纳地点与实际用工地点不符以及所参加社保的险种缺少，或甲方要求不缴纳公积金的（客户端填写公积金基数为0），产生的全部责任应由甲方承担。因为乙方原因错缴、漏缴造成员工参加社保及公积金的缴纳基数与实际工资数额不符、缴纳地点与实际用工地点不符、所参加社保的险种缺少、发生工伤等事故无法索赔，而产生的责任应由乙方承担。</w:t>
      </w:r>
    </w:p>
    <w:p>
      <w:pPr>
        <w:pStyle w:val="15"/>
        <w:numPr>
          <w:ilvl w:val="0"/>
          <w:numId w:val="7"/>
        </w:numPr>
        <w:spacing w:after="60" w:line="360" w:lineRule="exact"/>
        <w:ind w:firstLineChars="0"/>
        <w:jc w:val="left"/>
        <w:rPr>
          <w:rFonts w:ascii="宋体" w:hAnsi="宋体" w:cs="宋体"/>
        </w:rPr>
      </w:pPr>
      <w:r>
        <w:rPr>
          <w:rFonts w:hint="eastAsia" w:ascii="宋体" w:hAnsi="宋体" w:cs="宋体"/>
        </w:rPr>
        <w:t>甲方应提供员工在患病、非因工负伤、孕期、产期期间与因工负伤、死亡、患职业病以及其他依法参加有关社会活动等情况下享受的国家和当地政府规定的各种待遇。如员工发生工伤，甲方应在知道工伤发生之时起24小时内书面通知乙方，以便乙方及时办理工伤申报事宜。若由于甲方原因，造成乙方无法办理工伤理赔，甲方应当承担赔偿责任。</w:t>
      </w:r>
      <w:r>
        <w:rPr>
          <w:rFonts w:hint="eastAsia" w:ascii="宋体" w:hAnsi="宋体" w:cs="宋体"/>
          <w:szCs w:val="21"/>
        </w:rPr>
        <w:t>由于乙方工作失误导致没有缴纳成功，因此产生的费用由乙方公司承担。</w:t>
      </w:r>
    </w:p>
    <w:p>
      <w:pPr>
        <w:pStyle w:val="15"/>
        <w:numPr>
          <w:ilvl w:val="0"/>
          <w:numId w:val="7"/>
        </w:numPr>
        <w:spacing w:after="60" w:line="360" w:lineRule="exact"/>
        <w:ind w:firstLineChars="0"/>
        <w:jc w:val="left"/>
        <w:rPr>
          <w:rFonts w:ascii="宋体" w:hAnsi="宋体" w:cs="宋体"/>
          <w:szCs w:val="21"/>
        </w:rPr>
      </w:pPr>
      <w:r>
        <w:rPr>
          <w:rFonts w:hint="eastAsia" w:ascii="宋体" w:hAnsi="宋体" w:cs="宋体"/>
          <w:szCs w:val="21"/>
        </w:rPr>
        <w:t>员工入职之日至社保开始享受的期间，因无法享受保险待遇而产生的医疗及工伤等费用，由甲方承担。</w:t>
      </w:r>
    </w:p>
    <w:p>
      <w:pPr>
        <w:pStyle w:val="15"/>
        <w:numPr>
          <w:ilvl w:val="0"/>
          <w:numId w:val="7"/>
        </w:numPr>
        <w:spacing w:after="60" w:line="360" w:lineRule="exact"/>
        <w:ind w:firstLineChars="0"/>
        <w:jc w:val="left"/>
        <w:rPr>
          <w:rFonts w:ascii="宋体" w:hAnsi="宋体" w:cs="宋体"/>
          <w:szCs w:val="21"/>
        </w:rPr>
      </w:pPr>
      <w:r>
        <w:rPr>
          <w:rFonts w:hint="eastAsia" w:ascii="宋体" w:hAnsi="宋体" w:cs="宋体"/>
          <w:szCs w:val="21"/>
        </w:rPr>
        <w:t>因社保缴纳基数不符而存在的工伤待遇补差费用，由甲方承担。</w:t>
      </w:r>
    </w:p>
    <w:p>
      <w:pPr>
        <w:pStyle w:val="15"/>
        <w:numPr>
          <w:ilvl w:val="0"/>
          <w:numId w:val="7"/>
        </w:numPr>
        <w:spacing w:after="60" w:line="360" w:lineRule="exact"/>
        <w:ind w:firstLineChars="0"/>
        <w:jc w:val="left"/>
        <w:rPr>
          <w:rFonts w:ascii="宋体" w:hAnsi="宋体" w:cs="宋体"/>
        </w:rPr>
      </w:pPr>
      <w:r>
        <w:rPr>
          <w:rFonts w:hint="eastAsia" w:ascii="宋体" w:hAnsi="宋体" w:cs="宋体"/>
        </w:rPr>
        <w:t>员工患职业病或因工负伤，存在伤残等级评定的，在劳动合同终止或解除时，甲方应通过乙方按规定支付经济补偿金、工伤医疗补助金和伤残就业补助金。</w:t>
      </w:r>
    </w:p>
    <w:p>
      <w:pPr>
        <w:pStyle w:val="15"/>
        <w:spacing w:after="60" w:line="360" w:lineRule="exact"/>
        <w:ind w:left="420" w:firstLine="0" w:firstLineChars="0"/>
        <w:jc w:val="left"/>
        <w:rPr>
          <w:rFonts w:ascii="宋体" w:hAnsi="宋体" w:cs="宋体"/>
        </w:rPr>
      </w:pPr>
    </w:p>
    <w:p>
      <w:pPr>
        <w:numPr>
          <w:ilvl w:val="0"/>
          <w:numId w:val="1"/>
        </w:numPr>
        <w:spacing w:after="60" w:line="360" w:lineRule="exact"/>
        <w:jc w:val="left"/>
        <w:rPr>
          <w:rFonts w:ascii="宋体" w:hAnsi="宋体" w:cs="宋体"/>
        </w:rPr>
      </w:pPr>
      <w:r>
        <w:rPr>
          <w:rFonts w:hint="eastAsia" w:ascii="宋体" w:hAnsi="宋体" w:cs="宋体"/>
        </w:rPr>
        <w:t xml:space="preserve">  员工的退回</w:t>
      </w:r>
    </w:p>
    <w:p>
      <w:pPr>
        <w:pStyle w:val="15"/>
        <w:numPr>
          <w:ilvl w:val="0"/>
          <w:numId w:val="8"/>
        </w:numPr>
        <w:tabs>
          <w:tab w:val="left" w:pos="420"/>
        </w:tabs>
        <w:spacing w:after="60" w:line="360" w:lineRule="exact"/>
        <w:ind w:firstLineChars="0"/>
        <w:rPr>
          <w:rFonts w:ascii="宋体" w:hAnsi="宋体" w:cs="宋体"/>
        </w:rPr>
      </w:pPr>
      <w:r>
        <w:rPr>
          <w:rFonts w:hint="eastAsia" w:ascii="宋体" w:hAnsi="宋体" w:cs="宋体"/>
        </w:rPr>
        <w:t>员工有劳动合同法第三十九条规定的情形，甲方可以立即退回员工，并书面通知员工及乙方，但甲方应提供相应证据。</w:t>
      </w:r>
    </w:p>
    <w:p>
      <w:pPr>
        <w:pStyle w:val="15"/>
        <w:numPr>
          <w:ilvl w:val="0"/>
          <w:numId w:val="8"/>
        </w:numPr>
        <w:tabs>
          <w:tab w:val="left" w:pos="420"/>
        </w:tabs>
        <w:spacing w:after="60" w:line="360" w:lineRule="exact"/>
        <w:ind w:firstLineChars="0"/>
        <w:rPr>
          <w:rFonts w:ascii="宋体" w:hAnsi="宋体" w:cs="宋体"/>
        </w:rPr>
      </w:pPr>
      <w:r>
        <w:rPr>
          <w:rFonts w:hint="eastAsia" w:ascii="宋体" w:hAnsi="宋体" w:cs="宋体"/>
        </w:rPr>
        <w:t>除有劳动合同法第三十九条规定的情形外，员工有劳动合同法第四十二条规定以及员工工作所在地相关规定的情形的，甲方不得退回员工。</w:t>
      </w:r>
    </w:p>
    <w:p>
      <w:pPr>
        <w:pStyle w:val="15"/>
        <w:numPr>
          <w:ilvl w:val="0"/>
          <w:numId w:val="8"/>
        </w:numPr>
        <w:tabs>
          <w:tab w:val="left" w:pos="420"/>
        </w:tabs>
        <w:spacing w:after="60" w:line="360" w:lineRule="exact"/>
        <w:ind w:firstLineChars="0"/>
        <w:rPr>
          <w:rFonts w:ascii="宋体" w:hAnsi="宋体" w:cs="宋体"/>
        </w:rPr>
      </w:pPr>
      <w:r>
        <w:rPr>
          <w:rFonts w:hint="eastAsia" w:ascii="宋体" w:hAnsi="宋体" w:cs="宋体"/>
        </w:rPr>
        <w:t>根据劳动合同法第四十五条的规定，派遣期满时，员工有“本协议”7.2的情形之一，甲乙双方应依法顺延本协议期限，同时乙方应依法与员工续签和本协议顺延期限相同的劳动合同期限，直至“本协议”7.2的情形消失。</w:t>
      </w:r>
    </w:p>
    <w:p>
      <w:pPr>
        <w:pStyle w:val="15"/>
        <w:numPr>
          <w:ilvl w:val="0"/>
          <w:numId w:val="8"/>
        </w:numPr>
        <w:tabs>
          <w:tab w:val="left" w:pos="420"/>
        </w:tabs>
        <w:spacing w:after="60" w:line="360" w:lineRule="exact"/>
        <w:ind w:firstLineChars="0"/>
        <w:rPr>
          <w:rFonts w:ascii="宋体" w:hAnsi="宋体" w:cs="宋体"/>
        </w:rPr>
      </w:pPr>
      <w:r>
        <w:rPr>
          <w:rFonts w:hint="eastAsia" w:ascii="宋体" w:hAnsi="宋体" w:cs="宋体"/>
        </w:rPr>
        <w:t>根据劳动合同法第四十条的规定，甲方可以退回员工，但应当提前三十五日书面通知乙方，同时甲方应按员工在甲方的工作年限，向相应员工或通过乙方向相应员工支付基本保障费用。</w:t>
      </w:r>
    </w:p>
    <w:p>
      <w:pPr>
        <w:pStyle w:val="15"/>
        <w:numPr>
          <w:ilvl w:val="0"/>
          <w:numId w:val="8"/>
        </w:numPr>
        <w:tabs>
          <w:tab w:val="left" w:pos="420"/>
        </w:tabs>
        <w:spacing w:after="60" w:line="360" w:lineRule="exact"/>
        <w:ind w:firstLineChars="0"/>
        <w:rPr>
          <w:rFonts w:ascii="宋体" w:hAnsi="宋体" w:cs="宋体"/>
        </w:rPr>
      </w:pPr>
      <w:r>
        <w:rPr>
          <w:rFonts w:hint="eastAsia" w:ascii="宋体" w:hAnsi="宋体" w:cs="宋体"/>
        </w:rPr>
        <w:t>在派遣期限内，如果不具备上述条件，甲方希望退回员工的，乙方可以协助甲方与员工进行沟通协商，在与员工达成一致后甲方方可将员工退回乙方，乙方办理解除劳动合同手续。但甲方应依法向相应员工支付基本保障费用。</w:t>
      </w:r>
    </w:p>
    <w:p>
      <w:pPr>
        <w:pStyle w:val="15"/>
        <w:numPr>
          <w:ilvl w:val="0"/>
          <w:numId w:val="8"/>
        </w:numPr>
        <w:tabs>
          <w:tab w:val="left" w:pos="420"/>
        </w:tabs>
        <w:spacing w:after="60" w:line="360" w:lineRule="exact"/>
        <w:ind w:firstLineChars="0"/>
        <w:rPr>
          <w:rFonts w:ascii="宋体" w:hAnsi="宋体" w:cs="宋体"/>
        </w:rPr>
      </w:pPr>
      <w:r>
        <w:rPr>
          <w:rFonts w:hint="eastAsia" w:ascii="宋体" w:hAnsi="宋体" w:cs="宋体"/>
        </w:rPr>
        <w:t>本协议中“经济补偿金”的支付标准，参照劳动合同法第四十七条规定执行。</w:t>
      </w:r>
    </w:p>
    <w:p>
      <w:pPr>
        <w:pStyle w:val="15"/>
        <w:numPr>
          <w:ilvl w:val="0"/>
          <w:numId w:val="8"/>
        </w:numPr>
        <w:tabs>
          <w:tab w:val="left" w:pos="420"/>
        </w:tabs>
        <w:spacing w:after="60" w:line="360" w:lineRule="exact"/>
        <w:ind w:firstLineChars="0"/>
        <w:rPr>
          <w:rFonts w:ascii="宋体" w:hAnsi="宋体" w:cs="宋体"/>
        </w:rPr>
      </w:pPr>
      <w:r>
        <w:rPr>
          <w:rFonts w:hint="eastAsia" w:ascii="宋体" w:hAnsi="宋体" w:cs="宋体"/>
        </w:rPr>
        <w:t>除本条以上规定或甲乙双方一致同意外，甲方不得将员工退回乙方。如甲方违反本条约定退回员工，甲方应依法向乙方</w:t>
      </w:r>
      <w:r>
        <w:rPr>
          <w:rFonts w:hint="eastAsia" w:ascii="宋体" w:hAnsi="宋体" w:cs="宋体"/>
          <w:lang w:eastAsia="zh-CN"/>
        </w:rPr>
        <w:t>相应员工</w:t>
      </w:r>
      <w:bookmarkStart w:id="0" w:name="_GoBack"/>
      <w:bookmarkEnd w:id="0"/>
      <w:r>
        <w:rPr>
          <w:rFonts w:hint="eastAsia" w:ascii="宋体" w:hAnsi="宋体" w:cs="宋体"/>
        </w:rPr>
        <w:t>支付基本保障费用。</w:t>
      </w:r>
    </w:p>
    <w:p>
      <w:pPr>
        <w:pStyle w:val="15"/>
        <w:numPr>
          <w:ilvl w:val="0"/>
          <w:numId w:val="8"/>
        </w:numPr>
        <w:tabs>
          <w:tab w:val="left" w:pos="420"/>
        </w:tabs>
        <w:spacing w:after="60" w:line="360" w:lineRule="exact"/>
        <w:ind w:firstLineChars="0"/>
        <w:rPr>
          <w:rFonts w:ascii="宋体" w:hAnsi="宋体" w:cs="宋体"/>
        </w:rPr>
      </w:pPr>
      <w:r>
        <w:rPr>
          <w:rFonts w:hint="eastAsia" w:ascii="宋体" w:hAnsi="宋体" w:cs="宋体"/>
        </w:rPr>
        <w:t>员工根据本协议，在通过乙方派遣到甲方工作以前已经在甲方工作的（包括但不限于派遣、外包的形式），在通过乙方派遣之前的工作年限所产生的经济补偿金由甲方承担。</w:t>
      </w:r>
    </w:p>
    <w:p>
      <w:pPr>
        <w:numPr>
          <w:ilvl w:val="0"/>
          <w:numId w:val="1"/>
        </w:numPr>
        <w:spacing w:after="60" w:line="360" w:lineRule="exact"/>
        <w:rPr>
          <w:rFonts w:ascii="宋体" w:hAnsi="宋体" w:cs="宋体"/>
        </w:rPr>
      </w:pPr>
      <w:r>
        <w:rPr>
          <w:rFonts w:hint="eastAsia" w:ascii="宋体" w:hAnsi="宋体" w:cs="宋体"/>
        </w:rPr>
        <w:t xml:space="preserve">  员工派遣期届满的处理</w:t>
      </w:r>
    </w:p>
    <w:p>
      <w:pPr>
        <w:pStyle w:val="15"/>
        <w:numPr>
          <w:ilvl w:val="0"/>
          <w:numId w:val="9"/>
        </w:numPr>
        <w:tabs>
          <w:tab w:val="left" w:pos="1680"/>
        </w:tabs>
        <w:spacing w:after="60" w:line="360" w:lineRule="exact"/>
        <w:ind w:firstLineChars="0"/>
        <w:rPr>
          <w:rFonts w:ascii="宋体" w:hAnsi="宋体" w:cs="宋体"/>
        </w:rPr>
      </w:pPr>
      <w:r>
        <w:rPr>
          <w:rFonts w:hint="eastAsia" w:ascii="宋体" w:hAnsi="宋体" w:cs="宋体"/>
        </w:rPr>
        <w:t>甲方应提前三十五日以书面形式通知乙方是否继续接受员工派遣。</w:t>
      </w:r>
    </w:p>
    <w:p>
      <w:pPr>
        <w:pStyle w:val="15"/>
        <w:numPr>
          <w:ilvl w:val="0"/>
          <w:numId w:val="9"/>
        </w:numPr>
        <w:tabs>
          <w:tab w:val="left" w:pos="1680"/>
        </w:tabs>
        <w:spacing w:after="60" w:line="360" w:lineRule="exact"/>
        <w:ind w:firstLineChars="0"/>
        <w:rPr>
          <w:rFonts w:ascii="宋体" w:hAnsi="宋体" w:cs="宋体"/>
        </w:rPr>
      </w:pPr>
      <w:r>
        <w:rPr>
          <w:rFonts w:hint="eastAsia" w:ascii="宋体" w:hAnsi="宋体" w:cs="宋体"/>
        </w:rPr>
        <w:t xml:space="preserve">甲方决定继续接受员工派遣的，应与乙方明确员工派遣期限等内容。 </w:t>
      </w:r>
    </w:p>
    <w:p>
      <w:pPr>
        <w:pStyle w:val="15"/>
        <w:numPr>
          <w:ilvl w:val="0"/>
          <w:numId w:val="9"/>
        </w:numPr>
        <w:spacing w:after="60" w:line="360" w:lineRule="exact"/>
        <w:ind w:firstLineChars="0"/>
        <w:rPr>
          <w:rFonts w:ascii="宋体" w:hAnsi="宋体" w:cs="宋体"/>
        </w:rPr>
      </w:pPr>
      <w:r>
        <w:rPr>
          <w:rFonts w:hint="eastAsia" w:ascii="宋体" w:hAnsi="宋体" w:cs="宋体"/>
        </w:rPr>
        <w:t>甲方决定不接受员工派遣的，甲方应向员工或通过乙方向相应员工支付基本保障费用。</w:t>
      </w:r>
    </w:p>
    <w:p>
      <w:pPr>
        <w:spacing w:line="400" w:lineRule="exact"/>
        <w:rPr>
          <w:rFonts w:ascii="宋体" w:hAnsi="宋体" w:cs="宋体"/>
          <w:b/>
          <w:bCs/>
        </w:rPr>
      </w:pPr>
    </w:p>
    <w:p>
      <w:pPr>
        <w:spacing w:line="400" w:lineRule="exact"/>
        <w:jc w:val="center"/>
        <w:rPr>
          <w:rFonts w:ascii="宋体" w:hAnsi="宋体" w:cs="宋体"/>
          <w:b/>
          <w:bCs/>
        </w:rPr>
      </w:pPr>
      <w:r>
        <w:rPr>
          <w:rFonts w:ascii="宋体" w:hAnsi="宋体" w:cs="宋体"/>
          <w:b/>
          <w:bCs/>
        </w:rPr>
        <w:t>第四章</w:t>
      </w:r>
      <w:r>
        <w:rPr>
          <w:rFonts w:hint="eastAsia" w:ascii="宋体" w:hAnsi="宋体" w:cs="宋体"/>
          <w:b/>
          <w:bCs/>
          <w:szCs w:val="21"/>
        </w:rPr>
        <w:t xml:space="preserve">  </w:t>
      </w:r>
      <w:r>
        <w:rPr>
          <w:rFonts w:ascii="宋体" w:hAnsi="宋体" w:cs="宋体"/>
          <w:b/>
          <w:bCs/>
        </w:rPr>
        <w:t>协议的解除与变更</w:t>
      </w:r>
    </w:p>
    <w:p>
      <w:pPr>
        <w:numPr>
          <w:ilvl w:val="0"/>
          <w:numId w:val="1"/>
        </w:numPr>
        <w:spacing w:after="60" w:line="360" w:lineRule="exact"/>
        <w:rPr>
          <w:rFonts w:ascii="宋体" w:hAnsi="宋体" w:cs="宋体"/>
        </w:rPr>
      </w:pPr>
      <w:r>
        <w:rPr>
          <w:rFonts w:hint="eastAsia" w:ascii="宋体" w:hAnsi="宋体" w:cs="宋体"/>
        </w:rPr>
        <w:t xml:space="preserve">  本协议的解除</w:t>
      </w:r>
    </w:p>
    <w:p>
      <w:pPr>
        <w:pStyle w:val="15"/>
        <w:numPr>
          <w:ilvl w:val="0"/>
          <w:numId w:val="10"/>
        </w:numPr>
        <w:tabs>
          <w:tab w:val="left" w:pos="780"/>
        </w:tabs>
        <w:spacing w:after="60" w:line="360" w:lineRule="exact"/>
        <w:ind w:firstLineChars="0"/>
        <w:rPr>
          <w:rFonts w:ascii="宋体" w:hAnsi="宋体" w:cs="宋体"/>
        </w:rPr>
      </w:pPr>
      <w:r>
        <w:rPr>
          <w:rFonts w:hint="eastAsia" w:ascii="宋体" w:hAnsi="宋体" w:cs="宋体"/>
        </w:rPr>
        <w:t>任何一方解除本协议，必须提前叁个月以书面形式通知对方。有本协议第十六条、第十七条情形除外。</w:t>
      </w:r>
    </w:p>
    <w:p>
      <w:pPr>
        <w:pStyle w:val="15"/>
        <w:numPr>
          <w:ilvl w:val="0"/>
          <w:numId w:val="10"/>
        </w:numPr>
        <w:tabs>
          <w:tab w:val="left" w:pos="780"/>
        </w:tabs>
        <w:spacing w:after="60" w:line="360" w:lineRule="exact"/>
        <w:ind w:firstLineChars="0"/>
        <w:rPr>
          <w:rFonts w:ascii="宋体" w:hAnsi="宋体" w:cs="宋体"/>
        </w:rPr>
      </w:pPr>
      <w:r>
        <w:rPr>
          <w:rFonts w:hint="eastAsia" w:ascii="宋体" w:hAnsi="宋体" w:cs="宋体"/>
        </w:rPr>
        <w:t>甲方提出解除本协议的，应当根据员工在甲方的工作年限向员工或通过乙方向员工支付赔偿金，但员工主动解除与乙方劳动关系的除外。如员工被退回后不同意与乙方解除劳动关系的，甲方应向乙方支付全部员工的基本保障费用。</w:t>
      </w:r>
    </w:p>
    <w:p>
      <w:pPr>
        <w:pStyle w:val="15"/>
        <w:numPr>
          <w:ilvl w:val="0"/>
          <w:numId w:val="10"/>
        </w:numPr>
        <w:tabs>
          <w:tab w:val="left" w:pos="780"/>
        </w:tabs>
        <w:spacing w:after="60" w:line="360" w:lineRule="exact"/>
        <w:ind w:firstLineChars="0"/>
        <w:rPr>
          <w:rFonts w:ascii="宋体" w:hAnsi="宋体" w:cs="宋体"/>
        </w:rPr>
      </w:pPr>
      <w:r>
        <w:rPr>
          <w:rFonts w:hint="eastAsia" w:ascii="宋体" w:hAnsi="宋体" w:cs="宋体"/>
        </w:rPr>
        <w:t>甲方提出解除本协议的，总费用应当支付至最后一个员工办理离职手续完毕。</w:t>
      </w:r>
    </w:p>
    <w:p>
      <w:pPr>
        <w:numPr>
          <w:ilvl w:val="0"/>
          <w:numId w:val="1"/>
        </w:numPr>
        <w:spacing w:after="60" w:line="360" w:lineRule="exact"/>
        <w:rPr>
          <w:rFonts w:ascii="宋体" w:hAnsi="宋体" w:cs="宋体"/>
        </w:rPr>
      </w:pPr>
      <w:r>
        <w:rPr>
          <w:rFonts w:hint="eastAsia" w:ascii="宋体" w:hAnsi="宋体" w:cs="宋体"/>
        </w:rPr>
        <w:t xml:space="preserve">  如员工在甲方工作期间的行为对甲方或相关第三方造成损失，乙方可按甲方的要求协助甲方对该员工造成甲方或相关第三方的经济损失进行追索。</w:t>
      </w:r>
    </w:p>
    <w:p>
      <w:pPr>
        <w:numPr>
          <w:ilvl w:val="0"/>
          <w:numId w:val="1"/>
        </w:numPr>
        <w:spacing w:after="60" w:line="360" w:lineRule="exact"/>
        <w:jc w:val="left"/>
        <w:rPr>
          <w:rFonts w:ascii="宋体" w:hAnsi="宋体" w:cs="宋体"/>
        </w:rPr>
      </w:pPr>
      <w:r>
        <w:rPr>
          <w:rFonts w:hint="eastAsia" w:ascii="宋体" w:hAnsi="宋体" w:cs="宋体"/>
        </w:rPr>
        <w:t xml:space="preserve">  协议的变更</w:t>
      </w:r>
    </w:p>
    <w:p>
      <w:pPr>
        <w:pStyle w:val="5"/>
        <w:spacing w:before="0" w:after="60" w:line="360" w:lineRule="exact"/>
        <w:ind w:left="0" w:firstLine="0"/>
        <w:rPr>
          <w:rFonts w:cs="宋体"/>
          <w:sz w:val="21"/>
          <w:szCs w:val="21"/>
        </w:rPr>
      </w:pPr>
      <w:r>
        <w:rPr>
          <w:rFonts w:hint="eastAsia" w:cs="宋体"/>
          <w:sz w:val="21"/>
          <w:szCs w:val="21"/>
        </w:rPr>
        <w:t>本协议在履行中，如国家和当地政府新颁布了有关法律、法规和规定，应以新颁布的规定为准。法律环境变化造成按本协议约定继续履行显失公平时，须按照公平原则就协议条款进行协商达成变更、补充协议，任何一方不得拒绝变更协议条款。</w:t>
      </w:r>
    </w:p>
    <w:p>
      <w:pPr>
        <w:spacing w:line="400" w:lineRule="exact"/>
        <w:jc w:val="center"/>
        <w:rPr>
          <w:rFonts w:ascii="宋体" w:hAnsi="宋体" w:cs="宋体"/>
          <w:b/>
        </w:rPr>
      </w:pPr>
    </w:p>
    <w:p>
      <w:pPr>
        <w:spacing w:line="400" w:lineRule="exact"/>
        <w:jc w:val="center"/>
        <w:rPr>
          <w:rFonts w:ascii="宋体" w:hAnsi="宋体" w:cs="宋体"/>
          <w:b/>
        </w:rPr>
      </w:pPr>
      <w:r>
        <w:rPr>
          <w:rFonts w:ascii="宋体" w:hAnsi="宋体" w:cs="宋体"/>
          <w:b/>
        </w:rPr>
        <w:t>第五章</w:t>
      </w:r>
      <w:r>
        <w:rPr>
          <w:rFonts w:hint="eastAsia" w:ascii="宋体" w:hAnsi="宋体" w:cs="宋体"/>
          <w:b/>
          <w:bCs/>
          <w:szCs w:val="21"/>
        </w:rPr>
        <w:t xml:space="preserve">  </w:t>
      </w:r>
      <w:r>
        <w:rPr>
          <w:rFonts w:ascii="宋体" w:hAnsi="宋体" w:cs="宋体"/>
          <w:b/>
        </w:rPr>
        <w:t>费用</w:t>
      </w:r>
      <w:r>
        <w:rPr>
          <w:rFonts w:hint="eastAsia" w:ascii="宋体" w:hAnsi="宋体" w:cs="宋体"/>
          <w:b/>
        </w:rPr>
        <w:t>及</w:t>
      </w:r>
      <w:r>
        <w:rPr>
          <w:rFonts w:ascii="宋体" w:hAnsi="宋体" w:cs="宋体"/>
          <w:b/>
        </w:rPr>
        <w:t>结算</w:t>
      </w:r>
    </w:p>
    <w:p>
      <w:pPr>
        <w:numPr>
          <w:ilvl w:val="0"/>
          <w:numId w:val="1"/>
        </w:numPr>
        <w:spacing w:after="60" w:line="360" w:lineRule="exact"/>
        <w:rPr>
          <w:rFonts w:ascii="宋体" w:hAnsi="宋体" w:cs="宋体"/>
        </w:rPr>
      </w:pPr>
      <w:r>
        <w:rPr>
          <w:rFonts w:hint="eastAsia" w:ascii="宋体" w:hAnsi="宋体" w:cs="宋体"/>
        </w:rPr>
        <w:t xml:space="preserve"> </w:t>
      </w:r>
      <w:r>
        <w:rPr>
          <w:rFonts w:hint="eastAsia" w:ascii="宋体" w:hAnsi="宋体" w:cs="宋体"/>
          <w:b/>
        </w:rPr>
        <w:t xml:space="preserve"> </w:t>
      </w:r>
      <w:r>
        <w:rPr>
          <w:rFonts w:hint="eastAsia" w:ascii="宋体" w:hAnsi="宋体" w:cs="宋体"/>
        </w:rPr>
        <w:t>费用结算原则</w:t>
      </w:r>
    </w:p>
    <w:p>
      <w:pPr>
        <w:pStyle w:val="15"/>
        <w:numPr>
          <w:ilvl w:val="0"/>
          <w:numId w:val="11"/>
        </w:numPr>
        <w:spacing w:after="60" w:line="360" w:lineRule="exact"/>
        <w:ind w:firstLineChars="0"/>
        <w:rPr>
          <w:rFonts w:ascii="宋体" w:hAnsi="宋体" w:cs="宋体"/>
        </w:rPr>
      </w:pPr>
      <w:r>
        <w:rPr>
          <w:rFonts w:hint="eastAsia" w:ascii="宋体" w:hAnsi="宋体" w:cs="宋体"/>
        </w:rPr>
        <w:t xml:space="preserve"> 服务费用从员工派遣开始日所在的月份开始计算，按月计费，每人每月人民币</w:t>
      </w:r>
      <w:r>
        <w:rPr>
          <w:rFonts w:hint="eastAsia" w:ascii="宋体" w:hAnsi="宋体" w:cs="宋体"/>
          <w:u w:val="single"/>
          <w:lang w:val="en-US" w:eastAsia="zh-CN"/>
        </w:rPr>
        <w:t>200</w:t>
      </w:r>
      <w:r>
        <w:rPr>
          <w:rFonts w:hint="eastAsia" w:ascii="宋体" w:hAnsi="宋体" w:cs="宋体"/>
        </w:rPr>
        <w:t>元。当月不满一个</w:t>
      </w:r>
    </w:p>
    <w:p>
      <w:pPr>
        <w:pStyle w:val="15"/>
        <w:spacing w:after="60" w:line="360" w:lineRule="exact"/>
        <w:ind w:left="525" w:leftChars="250" w:firstLine="0" w:firstLineChars="0"/>
        <w:rPr>
          <w:rFonts w:ascii="宋体" w:hAnsi="宋体" w:cs="宋体"/>
        </w:rPr>
      </w:pPr>
      <w:r>
        <w:rPr>
          <w:rFonts w:hint="eastAsia" w:ascii="宋体" w:hAnsi="宋体" w:cs="宋体"/>
        </w:rPr>
        <w:t>月的，按月计算；服务人数不足5人的，按季度收费，其中服务费、社保费用和公积金费用按季度一次性收取，工资费用乙方仍然按月收取向员工发放，具体收费流程也做相应微调。</w:t>
      </w:r>
    </w:p>
    <w:p>
      <w:pPr>
        <w:pStyle w:val="15"/>
        <w:numPr>
          <w:ilvl w:val="0"/>
          <w:numId w:val="11"/>
        </w:numPr>
        <w:spacing w:after="60" w:line="360" w:lineRule="exact"/>
        <w:ind w:firstLineChars="0"/>
        <w:rPr>
          <w:rFonts w:ascii="宋体" w:hAnsi="宋体" w:cs="宋体"/>
        </w:rPr>
      </w:pPr>
      <w:r>
        <w:rPr>
          <w:rFonts w:hint="eastAsia" w:ascii="宋体" w:hAnsi="宋体" w:cs="宋体"/>
        </w:rPr>
        <w:t xml:space="preserve"> 如根据地方政府的规定，应于月初缴纳员工当月社保或公积金时，甲方应在员工首次服务的当月预交下月</w:t>
      </w:r>
    </w:p>
    <w:p>
      <w:pPr>
        <w:pStyle w:val="15"/>
        <w:spacing w:after="60" w:line="360" w:lineRule="exact"/>
        <w:ind w:left="420" w:leftChars="200" w:firstLine="105" w:firstLineChars="50"/>
        <w:rPr>
          <w:rFonts w:ascii="宋体" w:hAnsi="宋体" w:cs="宋体"/>
        </w:rPr>
      </w:pPr>
      <w:r>
        <w:rPr>
          <w:rFonts w:hint="eastAsia" w:ascii="宋体" w:hAnsi="宋体" w:cs="宋体"/>
        </w:rPr>
        <w:t>的总费用。即两个月的总费用（当月总费用以及预付下月总费用）。</w:t>
      </w:r>
    </w:p>
    <w:p>
      <w:pPr>
        <w:numPr>
          <w:ilvl w:val="0"/>
          <w:numId w:val="1"/>
        </w:numPr>
        <w:spacing w:after="60" w:line="360" w:lineRule="exact"/>
        <w:rPr>
          <w:rFonts w:ascii="宋体" w:hAnsi="宋体" w:cs="宋体"/>
        </w:rPr>
      </w:pPr>
      <w:r>
        <w:rPr>
          <w:rFonts w:hint="eastAsia" w:ascii="宋体" w:hAnsi="宋体" w:cs="宋体"/>
        </w:rPr>
        <w:t xml:space="preserve">  账单</w:t>
      </w:r>
    </w:p>
    <w:p>
      <w:pPr>
        <w:pStyle w:val="15"/>
        <w:widowControl/>
        <w:numPr>
          <w:ilvl w:val="0"/>
          <w:numId w:val="12"/>
        </w:numPr>
        <w:spacing w:after="60" w:line="360" w:lineRule="exact"/>
        <w:ind w:firstLineChars="0"/>
        <w:jc w:val="left"/>
        <w:rPr>
          <w:rFonts w:ascii="宋体" w:hAnsi="宋体" w:cs="宋体"/>
          <w:kern w:val="0"/>
          <w:szCs w:val="21"/>
        </w:rPr>
      </w:pPr>
      <w:r>
        <w:rPr>
          <w:rFonts w:hint="eastAsia" w:ascii="宋体" w:hAnsi="宋体" w:cs="宋体"/>
          <w:kern w:val="0"/>
          <w:szCs w:val="21"/>
        </w:rPr>
        <w:t xml:space="preserve"> </w:t>
      </w:r>
      <w:r>
        <w:rPr>
          <w:rFonts w:hint="eastAsia" w:ascii="宋体" w:hAnsi="宋体" w:cs="宋体"/>
          <w:szCs w:val="21"/>
        </w:rPr>
        <w:t>服务费根据双方商定，以账单为当月服务费的结算依据。甲方每月</w:t>
      </w:r>
      <w:r>
        <w:rPr>
          <w:rFonts w:hint="eastAsia" w:ascii="宋体" w:hAnsi="宋体" w:cs="宋体"/>
          <w:szCs w:val="21"/>
          <w:lang w:val="en-US" w:eastAsia="zh-CN"/>
        </w:rPr>
        <w:t>15</w:t>
      </w:r>
      <w:r>
        <w:rPr>
          <w:rFonts w:hint="eastAsia" w:ascii="宋体" w:hAnsi="宋体" w:cs="宋体"/>
          <w:szCs w:val="21"/>
        </w:rPr>
        <w:t>日（含</w:t>
      </w:r>
      <w:r>
        <w:rPr>
          <w:rFonts w:hint="eastAsia" w:ascii="宋体" w:hAnsi="宋体" w:cs="宋体"/>
          <w:szCs w:val="21"/>
          <w:lang w:val="en-US" w:eastAsia="zh-CN"/>
        </w:rPr>
        <w:t>15</w:t>
      </w:r>
      <w:r>
        <w:rPr>
          <w:rFonts w:hint="eastAsia" w:ascii="宋体" w:hAnsi="宋体" w:cs="宋体"/>
          <w:szCs w:val="21"/>
        </w:rPr>
        <w:t>日）前截止增减员数据申</w:t>
      </w:r>
    </w:p>
    <w:p>
      <w:pPr>
        <w:pStyle w:val="15"/>
        <w:widowControl/>
        <w:spacing w:after="60" w:line="360" w:lineRule="exact"/>
        <w:ind w:left="525" w:leftChars="250" w:firstLine="0" w:firstLineChars="0"/>
        <w:jc w:val="left"/>
        <w:rPr>
          <w:rFonts w:ascii="宋体" w:hAnsi="宋体" w:cs="宋体"/>
          <w:kern w:val="0"/>
          <w:szCs w:val="21"/>
        </w:rPr>
      </w:pPr>
      <w:r>
        <w:rPr>
          <w:rFonts w:hint="eastAsia" w:ascii="宋体" w:hAnsi="宋体" w:cs="宋体"/>
          <w:szCs w:val="21"/>
        </w:rPr>
        <w:t>报，否则应承担相应责任，账单每月</w:t>
      </w:r>
      <w:r>
        <w:rPr>
          <w:rFonts w:hint="eastAsia" w:ascii="宋体" w:hAnsi="宋体" w:cs="宋体"/>
          <w:szCs w:val="21"/>
          <w:lang w:val="en-US" w:eastAsia="zh-CN"/>
        </w:rPr>
        <w:t>5</w:t>
      </w:r>
      <w:r>
        <w:rPr>
          <w:rFonts w:hint="eastAsia" w:ascii="宋体" w:hAnsi="宋体" w:cs="宋体"/>
          <w:szCs w:val="21"/>
        </w:rPr>
        <w:t>日前自动生成至客户端，甲方应于</w:t>
      </w:r>
      <w:r>
        <w:rPr>
          <w:rFonts w:hint="eastAsia" w:ascii="宋体" w:hAnsi="宋体" w:cs="宋体"/>
          <w:szCs w:val="21"/>
          <w:lang w:val="en-US" w:eastAsia="zh-CN"/>
        </w:rPr>
        <w:t>3</w:t>
      </w:r>
      <w:r>
        <w:rPr>
          <w:rFonts w:hint="eastAsia" w:ascii="宋体" w:hAnsi="宋体" w:cs="宋体"/>
          <w:szCs w:val="21"/>
        </w:rPr>
        <w:t>个工作日内自行在客户端内下载确认账单内容，并在当月</w:t>
      </w:r>
      <w:r>
        <w:rPr>
          <w:rFonts w:hint="eastAsia" w:ascii="宋体" w:hAnsi="宋体" w:cs="宋体"/>
          <w:szCs w:val="21"/>
          <w:lang w:val="en-US" w:eastAsia="zh-CN"/>
        </w:rPr>
        <w:t>15</w:t>
      </w:r>
      <w:r>
        <w:rPr>
          <w:rFonts w:hint="eastAsia" w:ascii="宋体" w:hAnsi="宋体" w:cs="宋体"/>
          <w:szCs w:val="21"/>
        </w:rPr>
        <w:t>日前付款至乙方账中（如遇休息日、节假日，自动提前）。</w:t>
      </w:r>
    </w:p>
    <w:p>
      <w:pPr>
        <w:pStyle w:val="15"/>
        <w:widowControl/>
        <w:numPr>
          <w:ilvl w:val="0"/>
          <w:numId w:val="12"/>
        </w:numPr>
        <w:spacing w:after="60" w:line="360" w:lineRule="exact"/>
        <w:ind w:firstLineChars="0"/>
        <w:jc w:val="left"/>
        <w:rPr>
          <w:rFonts w:ascii="宋体" w:hAnsi="宋体" w:cs="宋体"/>
          <w:kern w:val="0"/>
          <w:szCs w:val="21"/>
        </w:rPr>
      </w:pPr>
      <w:r>
        <w:rPr>
          <w:rFonts w:hint="eastAsia" w:ascii="宋体" w:hAnsi="宋体" w:cs="宋体"/>
          <w:kern w:val="0"/>
          <w:szCs w:val="21"/>
        </w:rPr>
        <w:t xml:space="preserve"> 本协议生效后的启动当月，甲方在客户端报送首次增员后2个工作日内，于客户端下载当月账单并进行预</w:t>
      </w:r>
    </w:p>
    <w:p>
      <w:pPr>
        <w:pStyle w:val="15"/>
        <w:widowControl/>
        <w:spacing w:after="60" w:line="360" w:lineRule="exact"/>
        <w:ind w:left="525" w:leftChars="250" w:firstLine="0" w:firstLineChars="0"/>
        <w:jc w:val="left"/>
        <w:rPr>
          <w:rFonts w:ascii="宋体" w:hAnsi="宋体" w:cs="宋体"/>
          <w:kern w:val="0"/>
          <w:szCs w:val="21"/>
        </w:rPr>
      </w:pPr>
      <w:r>
        <w:rPr>
          <w:rFonts w:hint="eastAsia" w:ascii="宋体" w:hAnsi="宋体" w:cs="宋体"/>
          <w:kern w:val="0"/>
          <w:szCs w:val="21"/>
        </w:rPr>
        <w:t>付费。乙方收到甲方付款后正式启动服务，如甲方未按时付款，由此产生的相关责任由甲方承担；甲方了解并同意，乙方对账单中的人员社保缴纳结果及相关问题无需承担任何责任。</w:t>
      </w:r>
    </w:p>
    <w:p>
      <w:pPr>
        <w:pStyle w:val="15"/>
        <w:widowControl/>
        <w:numPr>
          <w:ilvl w:val="0"/>
          <w:numId w:val="12"/>
        </w:numPr>
        <w:spacing w:after="60" w:line="360" w:lineRule="exact"/>
        <w:ind w:firstLineChars="0"/>
        <w:jc w:val="left"/>
        <w:rPr>
          <w:rFonts w:ascii="宋体" w:hAnsi="宋体" w:cs="宋体"/>
        </w:rPr>
      </w:pPr>
      <w:r>
        <w:rPr>
          <w:rFonts w:hint="eastAsia" w:ascii="宋体" w:hAnsi="宋体" w:cs="宋体"/>
          <w:kern w:val="0"/>
          <w:szCs w:val="21"/>
        </w:rPr>
        <w:t xml:space="preserve"> 甲方确认每月</w:t>
      </w:r>
      <w:r>
        <w:rPr>
          <w:rFonts w:hint="eastAsia" w:ascii="宋体" w:hAnsi="宋体" w:cs="宋体"/>
          <w:kern w:val="0"/>
          <w:szCs w:val="21"/>
          <w:u w:val="single"/>
          <w:lang w:val="en-US" w:eastAsia="zh-CN"/>
        </w:rPr>
        <w:t>30</w:t>
      </w:r>
      <w:r>
        <w:rPr>
          <w:rFonts w:hint="eastAsia" w:ascii="宋体" w:hAnsi="宋体" w:cs="宋体"/>
          <w:kern w:val="0"/>
          <w:szCs w:val="21"/>
        </w:rPr>
        <w:t>日发放员工当月/上月工资（如遇法定节假日，自动</w:t>
      </w:r>
      <w:r>
        <w:rPr>
          <w:rFonts w:hint="eastAsia" w:ascii="宋体" w:hAnsi="宋体" w:cs="宋体"/>
          <w:kern w:val="0"/>
          <w:szCs w:val="21"/>
          <w:u w:val="single"/>
        </w:rPr>
        <w:t>提前/延后</w:t>
      </w:r>
      <w:r>
        <w:rPr>
          <w:rFonts w:hint="eastAsia" w:ascii="宋体" w:hAnsi="宋体" w:cs="宋体"/>
          <w:kern w:val="0"/>
          <w:szCs w:val="21"/>
        </w:rPr>
        <w:t>）。甲方应在每月发放</w:t>
      </w:r>
    </w:p>
    <w:p>
      <w:pPr>
        <w:pStyle w:val="15"/>
        <w:widowControl/>
        <w:spacing w:after="60" w:line="360" w:lineRule="exact"/>
        <w:ind w:left="525" w:leftChars="250" w:firstLine="0" w:firstLineChars="0"/>
        <w:jc w:val="left"/>
        <w:rPr>
          <w:rFonts w:ascii="宋体" w:hAnsi="宋体" w:cs="宋体"/>
        </w:rPr>
      </w:pPr>
      <w:r>
        <w:rPr>
          <w:rFonts w:hint="eastAsia" w:ascii="宋体" w:hAnsi="宋体" w:cs="宋体"/>
          <w:kern w:val="0"/>
          <w:szCs w:val="21"/>
        </w:rPr>
        <w:t>日前的</w:t>
      </w:r>
      <w:r>
        <w:rPr>
          <w:rFonts w:hint="eastAsia" w:ascii="宋体" w:hAnsi="宋体" w:cs="宋体"/>
          <w:kern w:val="0"/>
          <w:szCs w:val="21"/>
          <w:u w:val="single"/>
        </w:rPr>
        <w:t xml:space="preserve"> 2 </w:t>
      </w:r>
      <w:r>
        <w:rPr>
          <w:rFonts w:hint="eastAsia" w:ascii="宋体" w:hAnsi="宋体" w:cs="宋体"/>
          <w:kern w:val="0"/>
          <w:szCs w:val="21"/>
        </w:rPr>
        <w:t>个工作日提供银行划款凭证，前</w:t>
      </w:r>
      <w:r>
        <w:rPr>
          <w:rFonts w:hint="eastAsia" w:ascii="宋体" w:hAnsi="宋体" w:cs="宋体"/>
          <w:kern w:val="0"/>
          <w:szCs w:val="21"/>
          <w:u w:val="single"/>
        </w:rPr>
        <w:t>5</w:t>
      </w:r>
      <w:r>
        <w:rPr>
          <w:rFonts w:hint="eastAsia" w:ascii="宋体" w:hAnsi="宋体" w:cs="宋体"/>
          <w:kern w:val="0"/>
          <w:szCs w:val="21"/>
        </w:rPr>
        <w:t>个工作日提供工资发放明细及考勤记录给乙方，并按乙方所在地税务局的规定代缴员工个人所得税。</w:t>
      </w:r>
      <w:r>
        <w:rPr>
          <w:rFonts w:hint="eastAsia" w:ascii="宋体" w:hAnsi="宋体" w:cs="宋体"/>
          <w:szCs w:val="21"/>
        </w:rPr>
        <w:t>若甲方克扣、拖欠工资导致乙方承担法律责任，乙方有权向甲方追偿</w:t>
      </w:r>
      <w:r>
        <w:rPr>
          <w:rFonts w:hint="eastAsia" w:ascii="宋体" w:hAnsi="宋体" w:cs="宋体"/>
        </w:rPr>
        <w:t>。</w:t>
      </w:r>
    </w:p>
    <w:p>
      <w:pPr>
        <w:widowControl/>
        <w:spacing w:after="60" w:line="360" w:lineRule="exact"/>
        <w:ind w:left="420"/>
        <w:jc w:val="left"/>
        <w:rPr>
          <w:rFonts w:ascii="宋体" w:hAnsi="宋体" w:cs="宋体"/>
          <w:kern w:val="0"/>
          <w:szCs w:val="21"/>
        </w:rPr>
      </w:pPr>
      <w:r>
        <w:rPr>
          <w:rFonts w:hint="eastAsia" w:ascii="宋体" w:hAnsi="宋体" w:cs="宋体"/>
          <w:szCs w:val="21"/>
        </w:rPr>
        <w:t>员工每年应在国家及地方政府规定的期限内主动完成年度个人所得税汇算清缴工作</w:t>
      </w:r>
      <w:r>
        <w:rPr>
          <w:rFonts w:hint="eastAsia" w:ascii="宋体" w:hAnsi="宋体" w:cs="宋体"/>
          <w:bCs/>
          <w:szCs w:val="21"/>
        </w:rPr>
        <w:t>，若乙方服务人员未能及时完成且当地税务局强制要求完成的，视同甲方或乙方服务人员授权乙方代为申报处理</w:t>
      </w:r>
      <w:r>
        <w:rPr>
          <w:rFonts w:hint="eastAsia" w:ascii="宋体" w:hAnsi="宋体" w:cs="宋体"/>
          <w:szCs w:val="21"/>
        </w:rPr>
        <w:t>。</w:t>
      </w:r>
    </w:p>
    <w:p>
      <w:pPr>
        <w:numPr>
          <w:ilvl w:val="0"/>
          <w:numId w:val="1"/>
        </w:numPr>
        <w:spacing w:after="60" w:line="360" w:lineRule="exact"/>
        <w:rPr>
          <w:rFonts w:ascii="宋体" w:hAnsi="宋体" w:cs="宋体"/>
        </w:rPr>
      </w:pPr>
      <w:r>
        <w:rPr>
          <w:rFonts w:hint="eastAsia" w:ascii="宋体" w:hAnsi="宋体" w:cs="宋体"/>
        </w:rPr>
        <w:t xml:space="preserve">  付款操作和发票的开具</w:t>
      </w:r>
    </w:p>
    <w:p>
      <w:pPr>
        <w:pStyle w:val="15"/>
        <w:numPr>
          <w:ilvl w:val="0"/>
          <w:numId w:val="13"/>
        </w:numPr>
        <w:spacing w:after="60" w:line="360" w:lineRule="exact"/>
        <w:ind w:firstLineChars="0"/>
        <w:rPr>
          <w:rFonts w:ascii="宋体" w:hAnsi="宋体" w:cs="宋体"/>
        </w:rPr>
      </w:pPr>
      <w:r>
        <w:rPr>
          <w:rFonts w:hint="eastAsia" w:ascii="宋体" w:hAnsi="宋体" w:cs="宋体"/>
          <w:szCs w:val="21"/>
        </w:rPr>
        <w:t xml:space="preserve"> 服务费可以开具增值税专用发票，其他代收付的部分按照国家税法及当地税务机关要求开具相关发票</w:t>
      </w:r>
      <w:r>
        <w:rPr>
          <w:rFonts w:hint="eastAsia" w:ascii="宋体" w:hAnsi="宋体" w:cs="宋体"/>
        </w:rPr>
        <w:t>。</w:t>
      </w:r>
    </w:p>
    <w:p>
      <w:pPr>
        <w:pStyle w:val="15"/>
        <w:numPr>
          <w:ilvl w:val="0"/>
          <w:numId w:val="13"/>
        </w:numPr>
        <w:spacing w:after="60" w:line="360" w:lineRule="exact"/>
        <w:ind w:firstLineChars="0"/>
        <w:rPr>
          <w:rFonts w:ascii="宋体" w:hAnsi="宋体" w:cs="宋体"/>
        </w:rPr>
      </w:pPr>
      <w:r>
        <w:rPr>
          <w:rFonts w:hint="eastAsia" w:ascii="宋体" w:hAnsi="宋体" w:cs="宋体"/>
        </w:rPr>
        <w:t xml:space="preserve"> 乙方收到款项后应当同时开具相应发票或收据给到甲方。如果是汇款的，乙方应于7日内邮寄发票和收据</w:t>
      </w:r>
    </w:p>
    <w:p>
      <w:pPr>
        <w:pStyle w:val="15"/>
        <w:spacing w:after="60" w:line="360" w:lineRule="exact"/>
        <w:ind w:left="420" w:leftChars="200" w:firstLine="105" w:firstLineChars="50"/>
        <w:rPr>
          <w:rFonts w:ascii="宋体" w:hAnsi="宋体" w:cs="宋体"/>
        </w:rPr>
      </w:pPr>
      <w:r>
        <w:rPr>
          <w:rFonts w:hint="eastAsia" w:ascii="宋体" w:hAnsi="宋体" w:cs="宋体"/>
        </w:rPr>
        <w:t>给到甲方。</w:t>
      </w:r>
    </w:p>
    <w:p>
      <w:pPr>
        <w:pStyle w:val="15"/>
        <w:numPr>
          <w:ilvl w:val="0"/>
          <w:numId w:val="13"/>
        </w:numPr>
        <w:spacing w:after="60" w:line="360" w:lineRule="exact"/>
        <w:ind w:firstLineChars="0"/>
        <w:rPr>
          <w:rFonts w:ascii="宋体" w:hAnsi="宋体" w:cs="宋体"/>
        </w:rPr>
      </w:pPr>
      <w:r>
        <w:rPr>
          <w:rFonts w:hint="eastAsia" w:ascii="宋体" w:hAnsi="宋体" w:cs="宋体"/>
        </w:rPr>
        <w:t xml:space="preserve"> 本协议期限内每逢一个新的社保、公积金年度，甲方向乙方支付的总费用中有关社保费、公积金的付费标</w:t>
      </w:r>
    </w:p>
    <w:p>
      <w:pPr>
        <w:pStyle w:val="15"/>
        <w:spacing w:after="60" w:line="360" w:lineRule="exact"/>
        <w:ind w:left="420" w:leftChars="200" w:firstLine="105" w:firstLineChars="50"/>
        <w:rPr>
          <w:rFonts w:ascii="宋体" w:hAnsi="宋体" w:cs="宋体"/>
        </w:rPr>
      </w:pPr>
      <w:r>
        <w:rPr>
          <w:rFonts w:hint="eastAsia" w:ascii="宋体" w:hAnsi="宋体" w:cs="宋体"/>
        </w:rPr>
        <w:t>准，应按照当地政府颁布的社保费用、公积金调整比例做相应的调整。</w:t>
      </w:r>
    </w:p>
    <w:p>
      <w:pPr>
        <w:pStyle w:val="15"/>
        <w:numPr>
          <w:ilvl w:val="0"/>
          <w:numId w:val="13"/>
        </w:numPr>
        <w:spacing w:after="60" w:line="360" w:lineRule="exact"/>
        <w:ind w:firstLineChars="0"/>
        <w:rPr>
          <w:rFonts w:ascii="宋体" w:hAnsi="宋体" w:cs="宋体"/>
        </w:rPr>
      </w:pPr>
      <w:r>
        <w:rPr>
          <w:rFonts w:hint="eastAsia" w:ascii="宋体" w:hAnsi="宋体" w:cs="宋体"/>
        </w:rPr>
        <w:t xml:space="preserve"> 甲方须用对公账户以银行汇款方式支付费用，应汇入以下乙方指定的账号:</w:t>
      </w:r>
    </w:p>
    <w:p>
      <w:pPr>
        <w:pStyle w:val="18"/>
        <w:widowControl/>
        <w:autoSpaceDE w:val="0"/>
        <w:autoSpaceDN w:val="0"/>
        <w:spacing w:line="400" w:lineRule="exact"/>
        <w:textAlignment w:val="bottom"/>
        <w:rPr>
          <w:rFonts w:hAnsi="宋体" w:cs="宋体"/>
          <w:sz w:val="21"/>
        </w:rPr>
      </w:pPr>
      <w:r>
        <w:rPr>
          <w:rFonts w:hint="eastAsia" w:hAnsi="宋体" w:cs="宋体"/>
          <w:sz w:val="21"/>
        </w:rPr>
        <w:t>账户名称：上海智联易才人才咨询有限公司</w:t>
      </w:r>
    </w:p>
    <w:p>
      <w:pPr>
        <w:pStyle w:val="18"/>
        <w:widowControl/>
        <w:autoSpaceDE w:val="0"/>
        <w:autoSpaceDN w:val="0"/>
        <w:spacing w:line="400" w:lineRule="exact"/>
        <w:textAlignment w:val="bottom"/>
        <w:rPr>
          <w:rFonts w:hAnsi="宋体" w:cs="宋体"/>
          <w:sz w:val="21"/>
        </w:rPr>
      </w:pPr>
      <w:r>
        <w:rPr>
          <w:rFonts w:hint="eastAsia" w:hAnsi="宋体" w:cs="宋体"/>
          <w:sz w:val="21"/>
        </w:rPr>
        <w:t>开户行： 工行南西支行</w:t>
      </w:r>
    </w:p>
    <w:p>
      <w:pPr>
        <w:pStyle w:val="18"/>
        <w:widowControl/>
        <w:autoSpaceDE w:val="0"/>
        <w:autoSpaceDN w:val="0"/>
        <w:spacing w:line="400" w:lineRule="exact"/>
        <w:textAlignment w:val="bottom"/>
        <w:rPr>
          <w:rFonts w:hAnsi="宋体" w:cs="宋体"/>
          <w:sz w:val="21"/>
        </w:rPr>
      </w:pPr>
      <w:r>
        <w:rPr>
          <w:rFonts w:hint="eastAsia" w:hAnsi="宋体" w:cs="宋体"/>
          <w:sz w:val="21"/>
        </w:rPr>
        <w:t>账  号：1001207409206882878</w:t>
      </w:r>
    </w:p>
    <w:p>
      <w:pPr>
        <w:spacing w:line="400" w:lineRule="exact"/>
        <w:jc w:val="left"/>
        <w:rPr>
          <w:rFonts w:ascii="宋体" w:hAnsi="宋体" w:cs="宋体"/>
        </w:rPr>
      </w:pPr>
      <w:r>
        <w:rPr>
          <w:rFonts w:hint="eastAsia" w:ascii="宋体" w:hAnsi="宋体" w:cs="宋体"/>
        </w:rPr>
        <w:t>（除甲乙双方另行协商一致外，如甲方以个人账户向乙方支付费用，乙方有权拒绝并解除本协议，且不承担任何责任）</w:t>
      </w:r>
    </w:p>
    <w:p>
      <w:pPr>
        <w:spacing w:line="400" w:lineRule="exact"/>
        <w:jc w:val="left"/>
        <w:rPr>
          <w:rFonts w:ascii="宋体" w:hAnsi="宋体" w:cs="宋体"/>
        </w:rPr>
      </w:pPr>
      <w:r>
        <w:rPr>
          <w:rFonts w:hint="eastAsia" w:ascii="宋体" w:hAnsi="宋体" w:cs="宋体"/>
        </w:rPr>
        <w:t>甲方信息:</w:t>
      </w:r>
    </w:p>
    <w:p>
      <w:pPr>
        <w:spacing w:line="400" w:lineRule="exact"/>
        <w:jc w:val="left"/>
        <w:rPr>
          <w:rFonts w:ascii="宋体" w:hAnsi="宋体" w:cs="宋体"/>
        </w:rPr>
      </w:pPr>
      <w:r>
        <w:rPr>
          <w:rFonts w:hint="eastAsia" w:ascii="宋体" w:hAnsi="宋体" w:cs="宋体"/>
        </w:rPr>
        <w:t xml:space="preserve">甲方名称:上海麦田公共关系咨询有限公司                                  </w:t>
      </w:r>
    </w:p>
    <w:p>
      <w:pPr>
        <w:spacing w:line="400" w:lineRule="exact"/>
        <w:jc w:val="left"/>
        <w:rPr>
          <w:rFonts w:ascii="宋体" w:hAnsi="宋体" w:cs="宋体"/>
        </w:rPr>
      </w:pPr>
      <w:r>
        <w:rPr>
          <w:rFonts w:hint="eastAsia" w:ascii="宋体" w:hAnsi="宋体" w:cs="宋体"/>
        </w:rPr>
        <w:t>付款方名称: 上海麦田公共关系咨询有限公司     发票抬头:上海麦田公共关系咨询有限公司</w:t>
      </w:r>
    </w:p>
    <w:p>
      <w:pPr>
        <w:spacing w:line="400" w:lineRule="exact"/>
        <w:jc w:val="left"/>
        <w:rPr>
          <w:rFonts w:ascii="宋体" w:hAnsi="宋体" w:cs="宋体"/>
        </w:rPr>
      </w:pPr>
      <w:r>
        <w:rPr>
          <w:rFonts w:hint="eastAsia" w:ascii="宋体" w:hAnsi="宋体" w:cs="宋体"/>
        </w:rPr>
        <w:t xml:space="preserve">纳税人识别号: 91310118745630867T    </w:t>
      </w:r>
      <w:r>
        <w:rPr>
          <w:rFonts w:hint="eastAsia" w:ascii="宋体" w:hAnsi="宋体" w:cs="宋体"/>
          <w:lang w:val="en-US" w:eastAsia="zh-CN"/>
        </w:rPr>
        <w:t xml:space="preserve">        </w:t>
      </w:r>
      <w:r>
        <w:rPr>
          <w:rFonts w:hint="eastAsia" w:ascii="宋体" w:hAnsi="宋体" w:cs="宋体"/>
        </w:rPr>
        <w:t xml:space="preserve"> 发票地址:上海市崇明区三星镇协进村1814号5幢102室</w:t>
      </w:r>
    </w:p>
    <w:p>
      <w:pPr>
        <w:spacing w:line="400" w:lineRule="exact"/>
        <w:jc w:val="left"/>
        <w:rPr>
          <w:rFonts w:hint="eastAsia" w:ascii="宋体" w:hAnsi="宋体" w:eastAsia="宋体" w:cs="宋体"/>
          <w:lang w:eastAsia="zh-CN"/>
        </w:rPr>
      </w:pPr>
      <w:r>
        <w:rPr>
          <w:rFonts w:hint="eastAsia" w:ascii="宋体" w:hAnsi="宋体" w:cs="宋体"/>
        </w:rPr>
        <w:t xml:space="preserve">发票电话:  021-22212288                   </w:t>
      </w:r>
      <w:r>
        <w:rPr>
          <w:rFonts w:hint="eastAsia" w:ascii="宋体" w:hAnsi="宋体" w:cs="宋体"/>
          <w:lang w:val="en-US" w:eastAsia="zh-CN"/>
        </w:rPr>
        <w:t xml:space="preserve">  </w:t>
      </w:r>
      <w:r>
        <w:rPr>
          <w:rFonts w:hint="eastAsia" w:ascii="宋体" w:hAnsi="宋体" w:cs="宋体"/>
        </w:rPr>
        <w:t xml:space="preserve"> 甲方资质:</w:t>
      </w:r>
      <w:r>
        <w:rPr>
          <w:rFonts w:hint="eastAsia" w:ascii="宋体" w:hAnsi="宋体" w:cs="宋体"/>
          <w:lang w:eastAsia="zh-CN"/>
        </w:rPr>
        <w:t>一般纳税人</w:t>
      </w:r>
    </w:p>
    <w:p>
      <w:pPr>
        <w:spacing w:line="400" w:lineRule="exact"/>
        <w:jc w:val="left"/>
        <w:rPr>
          <w:rFonts w:ascii="宋体" w:hAnsi="宋体" w:cs="宋体"/>
        </w:rPr>
      </w:pPr>
      <w:r>
        <w:rPr>
          <w:rFonts w:hint="eastAsia" w:ascii="宋体" w:hAnsi="宋体" w:cs="宋体"/>
        </w:rPr>
        <w:t xml:space="preserve">开户行名称: 交通银行上海徐汇支行          </w:t>
      </w:r>
      <w:r>
        <w:rPr>
          <w:rFonts w:hint="eastAsia" w:ascii="宋体" w:hAnsi="宋体" w:cs="宋体"/>
          <w:lang w:val="en-US" w:eastAsia="zh-CN"/>
        </w:rPr>
        <w:t xml:space="preserve">   </w:t>
      </w:r>
      <w:r>
        <w:rPr>
          <w:rFonts w:hint="eastAsia" w:ascii="宋体" w:hAnsi="宋体" w:cs="宋体"/>
        </w:rPr>
        <w:t>甲方账号:310066179018800063802</w:t>
      </w:r>
    </w:p>
    <w:p>
      <w:pPr>
        <w:pStyle w:val="15"/>
        <w:numPr>
          <w:ilvl w:val="0"/>
          <w:numId w:val="13"/>
        </w:numPr>
        <w:spacing w:after="60" w:line="360" w:lineRule="exact"/>
        <w:ind w:firstLineChars="0"/>
        <w:jc w:val="left"/>
        <w:rPr>
          <w:rFonts w:ascii="宋体" w:hAnsi="宋体" w:cs="宋体"/>
          <w:szCs w:val="21"/>
        </w:rPr>
      </w:pPr>
      <w:r>
        <w:rPr>
          <w:rFonts w:hint="eastAsia" w:ascii="宋体" w:hAnsi="宋体" w:cs="宋体"/>
        </w:rPr>
        <w:t xml:space="preserve"> </w:t>
      </w:r>
      <w:r>
        <w:rPr>
          <w:rFonts w:hint="eastAsia" w:ascii="宋体" w:hAnsi="宋体" w:cs="宋体"/>
          <w:szCs w:val="21"/>
        </w:rPr>
        <w:t>发票不可重复开具。因甲方提供信息错误造成开具的发票类型、抬头、金额等信息错误或者因甲方提供的</w:t>
      </w:r>
    </w:p>
    <w:p>
      <w:pPr>
        <w:pStyle w:val="15"/>
        <w:spacing w:after="60" w:line="360" w:lineRule="exact"/>
        <w:ind w:left="525" w:leftChars="250" w:firstLine="0" w:firstLineChars="0"/>
        <w:jc w:val="left"/>
        <w:rPr>
          <w:rFonts w:ascii="宋体" w:hAnsi="宋体" w:cs="宋体"/>
          <w:szCs w:val="21"/>
        </w:rPr>
      </w:pPr>
      <w:r>
        <w:rPr>
          <w:rFonts w:hint="eastAsia" w:ascii="宋体" w:hAnsi="宋体" w:cs="宋体"/>
          <w:szCs w:val="21"/>
        </w:rPr>
        <w:t>地址有误致使甲方未收到发票的，乙方不承担任何责任，甲方需承担采取所有相关弥补措施的费用。甲方丢失增值税专用发票或由于甲方原因导致增值税专用发票被盗的，甲方需提交书面情况说明并加盖公章，承担补开增值税专用发票的所有相关费用，包括但不限于刊登“遗失声明”的费用、快递相关材料的费用和向税务主管机关报失的费用。甲方丢失增值税普通发票或由于甲方原因导致增值税普通发票被盗的，乙方不承担任何责任，甲方需承担采取所有相关弥补措施的费用。</w:t>
      </w:r>
    </w:p>
    <w:p>
      <w:pPr>
        <w:pStyle w:val="15"/>
        <w:numPr>
          <w:ilvl w:val="0"/>
          <w:numId w:val="13"/>
        </w:numPr>
        <w:spacing w:after="60" w:line="360" w:lineRule="exact"/>
        <w:ind w:firstLineChars="0"/>
        <w:jc w:val="left"/>
        <w:rPr>
          <w:rFonts w:ascii="宋体" w:hAnsi="宋体" w:cs="宋体"/>
          <w:szCs w:val="21"/>
        </w:rPr>
      </w:pPr>
      <w:r>
        <w:rPr>
          <w:rFonts w:hint="eastAsia" w:ascii="宋体" w:hAnsi="宋体" w:cs="宋体"/>
          <w:szCs w:val="21"/>
        </w:rPr>
        <w:t xml:space="preserve"> 由甲方原因导致增值税专用发票过期，根据相关税法规定，只能甲方自行处理，乙方不予处理。</w:t>
      </w:r>
    </w:p>
    <w:p>
      <w:pPr>
        <w:pStyle w:val="15"/>
        <w:numPr>
          <w:ilvl w:val="0"/>
          <w:numId w:val="13"/>
        </w:numPr>
        <w:spacing w:after="60" w:line="360" w:lineRule="exact"/>
        <w:ind w:firstLineChars="0"/>
        <w:jc w:val="left"/>
        <w:rPr>
          <w:rFonts w:ascii="宋体" w:hAnsi="宋体" w:cs="宋体"/>
        </w:rPr>
      </w:pPr>
      <w:r>
        <w:rPr>
          <w:rFonts w:hint="eastAsia" w:ascii="宋体" w:hAnsi="宋体" w:cs="宋体"/>
          <w:szCs w:val="21"/>
        </w:rPr>
        <w:t xml:space="preserve"> 针对先票后款的甲方，甲方不得以收到乙方开出的发票作为已打款依据，必须以银行打款记录为打款依据。</w:t>
      </w:r>
    </w:p>
    <w:p>
      <w:pPr>
        <w:spacing w:line="400" w:lineRule="exact"/>
        <w:rPr>
          <w:rFonts w:ascii="宋体" w:hAnsi="宋体" w:cs="宋体"/>
          <w:b/>
        </w:rPr>
      </w:pPr>
    </w:p>
    <w:p>
      <w:pPr>
        <w:spacing w:line="400" w:lineRule="exact"/>
        <w:jc w:val="center"/>
        <w:rPr>
          <w:rFonts w:ascii="宋体" w:hAnsi="宋体" w:cs="宋体"/>
          <w:b/>
        </w:rPr>
      </w:pPr>
      <w:r>
        <w:rPr>
          <w:rFonts w:ascii="宋体" w:hAnsi="宋体" w:cs="宋体"/>
          <w:b/>
        </w:rPr>
        <w:t>第六章</w:t>
      </w:r>
      <w:r>
        <w:rPr>
          <w:rFonts w:hint="eastAsia" w:ascii="宋体" w:hAnsi="宋体" w:cs="宋体"/>
          <w:b/>
          <w:bCs/>
          <w:szCs w:val="21"/>
        </w:rPr>
        <w:t xml:space="preserve">  </w:t>
      </w:r>
      <w:r>
        <w:rPr>
          <w:rFonts w:ascii="宋体" w:hAnsi="宋体" w:cs="宋体"/>
          <w:b/>
        </w:rPr>
        <w:t>违约责任</w:t>
      </w:r>
    </w:p>
    <w:p>
      <w:pPr>
        <w:numPr>
          <w:ilvl w:val="0"/>
          <w:numId w:val="1"/>
        </w:numPr>
        <w:spacing w:after="60" w:line="360" w:lineRule="exact"/>
        <w:jc w:val="left"/>
        <w:rPr>
          <w:rFonts w:ascii="宋体" w:hAnsi="宋体" w:cs="宋体"/>
        </w:rPr>
      </w:pPr>
      <w:r>
        <w:rPr>
          <w:rFonts w:hint="eastAsia" w:ascii="宋体" w:hAnsi="宋体" w:cs="宋体"/>
        </w:rPr>
        <w:t xml:space="preserve"> </w:t>
      </w:r>
      <w:r>
        <w:rPr>
          <w:rFonts w:ascii="宋体" w:hAnsi="宋体" w:cs="宋体"/>
        </w:rPr>
        <w:t xml:space="preserve"> </w:t>
      </w:r>
      <w:r>
        <w:rPr>
          <w:rFonts w:hint="eastAsia" w:ascii="宋体" w:hAnsi="宋体" w:cs="宋体"/>
        </w:rPr>
        <w:t>由于本协议任何一方因无法合理预见、控制或避免的不可抗力事件而足以导致其不能继续如约履行本协议义务的，则该方对此无须承担相应责任。不可抗力是指下列不能预见其发生且超出协议一方合理控制范围的事件，包括但不仅限于：天灾、自然灾害、战争或类似战争的状况、暴乱、破坏、火灾以及政府政策变更行为。遇有上述不可抗力的一方应在合理期限内将不可抗力事件对履行协议的影响向本协议另一方予以告知，双方对于不可抗力情形认知不存在异议的，应就不可抗力情形出现后变更或解除本协议及善后事宜予以沟通协商。协议一方出现资金困难的情况不属于前款规定情形。</w:t>
      </w:r>
    </w:p>
    <w:p>
      <w:pPr>
        <w:numPr>
          <w:ilvl w:val="0"/>
          <w:numId w:val="1"/>
        </w:numPr>
        <w:spacing w:after="60" w:line="360" w:lineRule="exact"/>
        <w:jc w:val="left"/>
        <w:rPr>
          <w:rFonts w:ascii="宋体" w:hAnsi="宋体" w:cs="宋体"/>
        </w:rPr>
      </w:pPr>
      <w:r>
        <w:rPr>
          <w:rFonts w:hint="eastAsia" w:ascii="宋体" w:hAnsi="宋体" w:cs="宋体"/>
        </w:rPr>
        <w:t xml:space="preserve">  因任何一方违法或违反本协议约定给员工造成损失而使另一方承担连带责任时，已经承担赔偿责任的一方有权向有过错的另一方追偿。</w:t>
      </w:r>
    </w:p>
    <w:p>
      <w:pPr>
        <w:numPr>
          <w:ilvl w:val="0"/>
          <w:numId w:val="1"/>
        </w:numPr>
        <w:spacing w:after="60" w:line="360" w:lineRule="exact"/>
        <w:jc w:val="left"/>
        <w:rPr>
          <w:rFonts w:ascii="宋体" w:hAnsi="宋体" w:cs="宋体"/>
        </w:rPr>
      </w:pPr>
      <w:r>
        <w:rPr>
          <w:rFonts w:hint="eastAsia" w:ascii="宋体" w:hAnsi="宋体" w:cs="宋体"/>
        </w:rPr>
        <w:t xml:space="preserve">  甲方未按照约定及时足额支付总费用的，乙方有权按</w:t>
      </w:r>
      <w:r>
        <w:rPr>
          <w:rFonts w:hint="eastAsia" w:ascii="宋体" w:hAnsi="宋体" w:cs="宋体"/>
          <w:color w:val="auto"/>
        </w:rPr>
        <w:t>应付款的</w:t>
      </w:r>
      <w:r>
        <w:rPr>
          <w:rFonts w:hint="eastAsia" w:cs="宋体" w:asciiTheme="majorEastAsia" w:hAnsiTheme="majorEastAsia" w:eastAsiaTheme="majorEastAsia"/>
          <w:color w:val="auto"/>
          <w:szCs w:val="21"/>
        </w:rPr>
        <w:t>0.3‰/天</w:t>
      </w:r>
      <w:r>
        <w:rPr>
          <w:rFonts w:hint="eastAsia" w:ascii="宋体" w:hAnsi="宋体" w:cs="宋体"/>
          <w:color w:val="auto"/>
        </w:rPr>
        <w:t>收取违约金，甲方迟延支付总费用造成的损失由甲方承担；在乙方催告后甲方仍未如期履行支付义务，乙方有权通</w:t>
      </w:r>
      <w:r>
        <w:rPr>
          <w:rFonts w:hint="eastAsia" w:ascii="宋体" w:hAnsi="宋体" w:cs="宋体"/>
        </w:rPr>
        <w:t>知甲方解除本协议并将员工撤回，乙方撤回员工后，甲方应承担乙方撤回员工所产生的基本保障费用。</w:t>
      </w:r>
    </w:p>
    <w:p>
      <w:pPr>
        <w:numPr>
          <w:ilvl w:val="0"/>
          <w:numId w:val="1"/>
        </w:numPr>
        <w:spacing w:after="60" w:line="360" w:lineRule="exact"/>
        <w:jc w:val="left"/>
        <w:rPr>
          <w:rFonts w:ascii="宋体" w:hAnsi="宋体" w:cs="宋体"/>
        </w:rPr>
      </w:pPr>
      <w:r>
        <w:rPr>
          <w:rFonts w:hint="eastAsia" w:ascii="宋体" w:hAnsi="宋体" w:cs="宋体"/>
        </w:rPr>
        <w:t xml:space="preserve">  甲方若未依照本协议第13.3条约定按时支付或克扣员工工资的，所造成的因克扣或拖欠而由员工提起的解除劳动合同、仲裁或诉讼产生的经济补偿金的赔偿、劳动监察等行政部门的行政处罚等，均由甲方承担全部责任。</w:t>
      </w:r>
    </w:p>
    <w:p>
      <w:pPr>
        <w:numPr>
          <w:ilvl w:val="0"/>
          <w:numId w:val="1"/>
        </w:numPr>
        <w:spacing w:after="60" w:line="360" w:lineRule="exact"/>
        <w:jc w:val="left"/>
        <w:rPr>
          <w:rFonts w:ascii="宋体" w:hAnsi="宋体" w:cs="宋体"/>
        </w:rPr>
      </w:pPr>
      <w:r>
        <w:rPr>
          <w:rFonts w:hint="eastAsia" w:ascii="宋体" w:hAnsi="宋体" w:cs="宋体"/>
        </w:rPr>
        <w:t xml:space="preserve">  乙方在甲方按时付款的前提下，因乙方原因迟延缴纳社保、公积金等费用的，应承担补缴社保、公积金等费用的滞纳金，因此造成的一切损失由乙方承担；如乙方超过一个月内仍未履行支付义务,甲方有权通知乙方解除本协议，乙方应承担由此给甲方及员工造成的损失。</w:t>
      </w:r>
    </w:p>
    <w:p>
      <w:pPr>
        <w:numPr>
          <w:ilvl w:val="0"/>
          <w:numId w:val="1"/>
        </w:numPr>
        <w:spacing w:after="60" w:line="360" w:lineRule="exact"/>
        <w:jc w:val="left"/>
        <w:rPr>
          <w:rFonts w:ascii="宋体" w:hAnsi="宋体" w:cs="宋体"/>
        </w:rPr>
      </w:pPr>
      <w:r>
        <w:rPr>
          <w:rFonts w:hint="eastAsia" w:ascii="宋体" w:hAnsi="宋体" w:cs="宋体"/>
        </w:rPr>
        <w:t xml:space="preserve">  本协议生效后，甲方擅自解除本协议的，除应依据9.2条规定承担由此给乙方造成的损失外，并向乙方支付违约金。违约金的计算标准为服务期限内最高月总服务费的两倍。违约金自解除协议之日起十个工作日内付清。</w:t>
      </w:r>
    </w:p>
    <w:p>
      <w:pPr>
        <w:numPr>
          <w:ilvl w:val="0"/>
          <w:numId w:val="1"/>
        </w:numPr>
        <w:spacing w:after="60" w:line="360" w:lineRule="exact"/>
        <w:jc w:val="left"/>
        <w:rPr>
          <w:rFonts w:ascii="宋体" w:hAnsi="宋体" w:cs="宋体"/>
        </w:rPr>
      </w:pPr>
      <w:r>
        <w:rPr>
          <w:rFonts w:hint="eastAsia" w:ascii="宋体" w:hAnsi="宋体" w:cs="宋体"/>
        </w:rPr>
        <w:t xml:space="preserve">  非因乙方原因，导致员工与乙方在发生经济补偿、赔偿金等劳动争议，最终经协商和解、调解、劳动仲裁或人民法院判决裁定等确定需由乙方向员工支付的全部费用以及行政部门基于行政决定所产生的费用（包括但不限于拖欠员工工资的赔偿金、社保稽核责任、公积金稽查责任等）由甲方承担。</w:t>
      </w:r>
    </w:p>
    <w:p>
      <w:pPr>
        <w:spacing w:after="60" w:line="360" w:lineRule="exact"/>
        <w:jc w:val="left"/>
        <w:rPr>
          <w:rFonts w:ascii="宋体" w:hAnsi="宋体" w:cs="宋体"/>
        </w:rPr>
      </w:pPr>
      <w:r>
        <w:rPr>
          <w:rFonts w:hint="eastAsia" w:ascii="宋体" w:hAnsi="宋体" w:cs="宋体"/>
        </w:rPr>
        <w:t>由甲方行为导致员工提起仲裁、诉讼的，甲方应当承担由此产生的相关费用，此费用包括但不限于律师费、差旅费、诉讼费等费用。</w:t>
      </w:r>
    </w:p>
    <w:p>
      <w:pPr>
        <w:spacing w:line="400" w:lineRule="exact"/>
        <w:jc w:val="center"/>
        <w:rPr>
          <w:rFonts w:ascii="宋体" w:hAnsi="宋体" w:cs="宋体"/>
          <w:b/>
        </w:rPr>
      </w:pPr>
    </w:p>
    <w:p>
      <w:pPr>
        <w:spacing w:line="400" w:lineRule="exact"/>
        <w:jc w:val="center"/>
        <w:rPr>
          <w:rFonts w:ascii="宋体" w:hAnsi="宋体" w:cs="宋体"/>
          <w:b/>
        </w:rPr>
      </w:pPr>
      <w:r>
        <w:rPr>
          <w:rFonts w:ascii="宋体" w:hAnsi="宋体" w:cs="宋体"/>
          <w:b/>
        </w:rPr>
        <w:t>第七章</w:t>
      </w:r>
      <w:r>
        <w:rPr>
          <w:rFonts w:hint="eastAsia" w:ascii="宋体" w:hAnsi="宋体" w:cs="宋体"/>
          <w:b/>
          <w:bCs/>
          <w:szCs w:val="21"/>
        </w:rPr>
        <w:t xml:space="preserve">  </w:t>
      </w:r>
      <w:r>
        <w:rPr>
          <w:rFonts w:ascii="宋体" w:hAnsi="宋体" w:cs="宋体"/>
          <w:b/>
        </w:rPr>
        <w:t>附</w:t>
      </w:r>
      <w:r>
        <w:rPr>
          <w:rFonts w:hint="eastAsia" w:ascii="宋体" w:hAnsi="宋体" w:cs="宋体"/>
          <w:b/>
        </w:rPr>
        <w:t xml:space="preserve"> </w:t>
      </w:r>
      <w:r>
        <w:rPr>
          <w:rFonts w:ascii="宋体" w:hAnsi="宋体" w:cs="宋体"/>
          <w:b/>
        </w:rPr>
        <w:t>则</w:t>
      </w:r>
    </w:p>
    <w:p>
      <w:pPr>
        <w:numPr>
          <w:ilvl w:val="0"/>
          <w:numId w:val="1"/>
        </w:numPr>
        <w:spacing w:after="40" w:line="360" w:lineRule="exact"/>
        <w:jc w:val="left"/>
        <w:rPr>
          <w:rFonts w:ascii="宋体" w:hAnsi="宋体" w:cs="宋体"/>
        </w:rPr>
      </w:pPr>
      <w:r>
        <w:rPr>
          <w:rFonts w:hint="eastAsia" w:ascii="宋体" w:hAnsi="宋体" w:cs="宋体"/>
          <w:b/>
        </w:rPr>
        <w:t xml:space="preserve">  </w:t>
      </w:r>
      <w:r>
        <w:rPr>
          <w:rFonts w:hint="eastAsia" w:ascii="宋体" w:hAnsi="宋体" w:cs="宋体"/>
        </w:rPr>
        <w:t>协议的生效</w:t>
      </w:r>
    </w:p>
    <w:p>
      <w:pPr>
        <w:spacing w:after="40" w:line="360" w:lineRule="exact"/>
        <w:rPr>
          <w:rFonts w:ascii="宋体" w:hAnsi="宋体" w:cs="宋体"/>
        </w:rPr>
      </w:pPr>
      <w:r>
        <w:rPr>
          <w:rFonts w:hint="eastAsia" w:ascii="宋体" w:hAnsi="宋体" w:cs="宋体"/>
        </w:rPr>
        <w:t>本协议自</w:t>
      </w:r>
      <w:r>
        <w:rPr>
          <w:rFonts w:hint="eastAsia" w:ascii="宋体" w:hAnsi="宋体" w:cs="宋体"/>
          <w:u w:val="single"/>
          <w:lang w:val="en-US" w:eastAsia="zh-CN"/>
        </w:rPr>
        <w:t>2022</w:t>
      </w:r>
      <w:r>
        <w:rPr>
          <w:rFonts w:hint="eastAsia" w:ascii="宋体" w:hAnsi="宋体" w:cs="宋体"/>
        </w:rPr>
        <w:t>年</w:t>
      </w:r>
      <w:r>
        <w:rPr>
          <w:rFonts w:hint="eastAsia" w:ascii="宋体" w:hAnsi="宋体" w:cs="宋体"/>
          <w:u w:val="single"/>
          <w:lang w:val="en-US" w:eastAsia="zh-CN"/>
        </w:rPr>
        <w:t>5</w:t>
      </w:r>
      <w:r>
        <w:rPr>
          <w:rFonts w:hint="eastAsia" w:ascii="宋体" w:hAnsi="宋体" w:cs="宋体"/>
        </w:rPr>
        <w:t>月</w:t>
      </w:r>
      <w:r>
        <w:rPr>
          <w:rFonts w:hint="eastAsia" w:ascii="宋体" w:hAnsi="宋体" w:cs="宋体"/>
          <w:u w:val="single"/>
          <w:lang w:val="en-US" w:eastAsia="zh-CN"/>
        </w:rPr>
        <w:t>1</w:t>
      </w:r>
      <w:r>
        <w:rPr>
          <w:rFonts w:hint="eastAsia" w:ascii="宋体" w:hAnsi="宋体" w:cs="宋体"/>
        </w:rPr>
        <w:t>日起生效，至最后一个员工办理离职手续完毕或双方协商一致解除时止。</w:t>
      </w:r>
    </w:p>
    <w:p>
      <w:pPr>
        <w:pStyle w:val="2"/>
        <w:numPr>
          <w:ilvl w:val="0"/>
          <w:numId w:val="1"/>
        </w:numPr>
        <w:spacing w:after="40" w:line="360" w:lineRule="exact"/>
        <w:jc w:val="left"/>
        <w:rPr>
          <w:rFonts w:ascii="宋体" w:hAnsi="宋体" w:eastAsia="宋体" w:cs="宋体"/>
        </w:rPr>
      </w:pPr>
      <w:r>
        <w:rPr>
          <w:rFonts w:hint="eastAsia" w:ascii="宋体" w:hAnsi="宋体" w:eastAsia="宋体" w:cs="宋体"/>
          <w:b/>
        </w:rPr>
        <w:t xml:space="preserve">  </w:t>
      </w:r>
      <w:r>
        <w:rPr>
          <w:rFonts w:hint="eastAsia" w:ascii="宋体" w:hAnsi="宋体" w:eastAsia="宋体" w:cs="宋体"/>
        </w:rPr>
        <w:t>本协议履行期间，如遇有未尽事宜或甲乙双方发生争议，应通过友好协商解决。协商不成，任何一方均可采取向原告所在地的法院提起诉讼。</w:t>
      </w:r>
    </w:p>
    <w:p>
      <w:pPr>
        <w:pStyle w:val="18"/>
        <w:numPr>
          <w:ilvl w:val="0"/>
          <w:numId w:val="1"/>
        </w:numPr>
        <w:autoSpaceDE w:val="0"/>
        <w:autoSpaceDN w:val="0"/>
        <w:spacing w:after="40" w:line="360" w:lineRule="exact"/>
        <w:textAlignment w:val="bottom"/>
        <w:rPr>
          <w:rFonts w:hAnsi="宋体" w:cs="宋体"/>
          <w:sz w:val="21"/>
        </w:rPr>
      </w:pPr>
      <w:r>
        <w:rPr>
          <w:rFonts w:hint="eastAsia" w:hAnsi="宋体" w:cs="宋体"/>
          <w:b/>
          <w:sz w:val="21"/>
        </w:rPr>
        <w:t xml:space="preserve">  </w:t>
      </w:r>
      <w:r>
        <w:rPr>
          <w:rFonts w:hint="eastAsia" w:hAnsi="宋体" w:cs="宋体"/>
          <w:sz w:val="21"/>
        </w:rPr>
        <w:t>双方联系方式</w:t>
      </w:r>
    </w:p>
    <w:p>
      <w:pPr>
        <w:spacing w:after="40" w:line="360" w:lineRule="exact"/>
        <w:jc w:val="left"/>
        <w:rPr>
          <w:rFonts w:hint="eastAsia" w:ascii="宋体" w:hAnsi="宋体" w:cs="宋体"/>
          <w:szCs w:val="21"/>
        </w:rPr>
      </w:pPr>
      <w:r>
        <w:rPr>
          <w:rFonts w:hint="eastAsia" w:ascii="宋体" w:hAnsi="宋体" w:cs="宋体"/>
        </w:rPr>
        <w:t>双方之间的任何通知及通讯应以书面形式，以中文及（或）英文的形式通过传真、专人派送（包括快递）或挂号邮件方式送达至下述地址。</w:t>
      </w:r>
      <w:r>
        <w:rPr>
          <w:rFonts w:hint="eastAsia" w:ascii="宋体" w:hAnsi="宋体" w:cs="宋体"/>
          <w:color w:val="000000"/>
          <w:szCs w:val="21"/>
        </w:rPr>
        <w:t>甲乙双方变更以上通知信息</w:t>
      </w:r>
      <w:r>
        <w:rPr>
          <w:rFonts w:hint="eastAsia" w:ascii="宋体" w:hAnsi="宋体" w:cs="宋体"/>
          <w:szCs w:val="21"/>
        </w:rPr>
        <w:t>应提前15日以书面形式通知对方,如未通知，甲乙双方认可其他相同职位联系人或最后一次与对方联系人员为本公司最新联系人，其意思表示真实有效。甲方同意乙方将客户端的登陆名和密码告知以下指定邮箱和联系人，甲方负责妥善管理密码，确保专人操作，并认可在客户端报送数据的真实有效性：</w:t>
      </w:r>
    </w:p>
    <w:p>
      <w:pPr>
        <w:spacing w:after="40" w:line="360" w:lineRule="exact"/>
        <w:jc w:val="left"/>
        <w:rPr>
          <w:rFonts w:hint="eastAsia" w:ascii="宋体" w:hAnsi="宋体" w:eastAsia="宋体" w:cs="宋体"/>
          <w:szCs w:val="21"/>
          <w:lang w:eastAsia="zh-CN"/>
        </w:rPr>
      </w:pPr>
      <w:r>
        <w:rPr>
          <w:rFonts w:hint="eastAsia" w:ascii="宋体" w:hAnsi="宋体" w:cs="宋体"/>
          <w:szCs w:val="21"/>
          <w:lang w:eastAsia="zh-CN"/>
        </w:rPr>
        <w:t>甲方：</w:t>
      </w:r>
    </w:p>
    <w:p>
      <w:pPr>
        <w:spacing w:after="40" w:line="360" w:lineRule="exact"/>
        <w:rPr>
          <w:rFonts w:ascii="宋体" w:hAnsi="宋体" w:cs="宋体"/>
        </w:rPr>
      </w:pPr>
      <w:r>
        <w:rPr>
          <w:rFonts w:hint="eastAsia" w:ascii="宋体" w:hAnsi="宋体" w:cs="宋体"/>
        </w:rPr>
        <w:t>地  址：</w:t>
      </w:r>
      <w:r>
        <w:rPr>
          <w:rFonts w:hint="eastAsia" w:ascii="宋体" w:hAnsi="宋体" w:cs="宋体"/>
          <w:u w:val="single"/>
        </w:rPr>
        <w:t xml:space="preserve">   上海市静安区成都北路333号招商局广场南楼2602室  </w:t>
      </w:r>
    </w:p>
    <w:p>
      <w:pPr>
        <w:spacing w:after="40" w:line="360" w:lineRule="exact"/>
        <w:rPr>
          <w:rFonts w:ascii="宋体" w:hAnsi="宋体" w:cs="宋体"/>
        </w:rPr>
      </w:pPr>
      <w:r>
        <w:rPr>
          <w:rFonts w:hint="eastAsia" w:ascii="宋体" w:hAnsi="宋体" w:cs="宋体"/>
        </w:rPr>
        <w:t>电  话：</w:t>
      </w:r>
      <w:r>
        <w:rPr>
          <w:rFonts w:hint="eastAsia" w:ascii="宋体" w:hAnsi="宋体" w:cs="宋体"/>
          <w:u w:val="single"/>
        </w:rPr>
        <w:t xml:space="preserve">                   021-22212288                     </w:t>
      </w:r>
    </w:p>
    <w:p>
      <w:pPr>
        <w:spacing w:after="40" w:line="360" w:lineRule="exact"/>
        <w:rPr>
          <w:rFonts w:ascii="宋体" w:hAnsi="宋体" w:cs="宋体"/>
        </w:rPr>
      </w:pPr>
      <w:r>
        <w:rPr>
          <w:rFonts w:hint="eastAsia" w:ascii="宋体" w:hAnsi="宋体" w:cs="宋体"/>
        </w:rPr>
        <w:t>传  真：</w:t>
      </w:r>
      <w:r>
        <w:rPr>
          <w:rFonts w:hint="eastAsia" w:ascii="宋体" w:hAnsi="宋体" w:cs="宋体"/>
          <w:u w:val="single"/>
        </w:rPr>
        <w:t xml:space="preserve">                     </w:t>
      </w:r>
      <w:r>
        <w:rPr>
          <w:rFonts w:hint="eastAsia" w:ascii="宋体" w:hAnsi="宋体" w:cs="宋体"/>
          <w:u w:val="single"/>
          <w:lang w:val="en-US" w:eastAsia="zh-CN"/>
        </w:rPr>
        <w:t xml:space="preserve">  </w:t>
      </w:r>
      <w:r>
        <w:rPr>
          <w:rFonts w:hint="eastAsia" w:ascii="宋体" w:hAnsi="宋体" w:cs="宋体"/>
          <w:u w:val="single"/>
        </w:rPr>
        <w:t xml:space="preserve"> </w:t>
      </w:r>
      <w:r>
        <w:rPr>
          <w:rFonts w:hint="eastAsia" w:ascii="宋体" w:hAnsi="宋体" w:cs="宋体"/>
          <w:u w:val="single"/>
          <w:lang w:val="en-US" w:eastAsia="zh-CN"/>
        </w:rPr>
        <w:t>-</w:t>
      </w:r>
      <w:r>
        <w:rPr>
          <w:rFonts w:hint="eastAsia" w:ascii="宋体" w:hAnsi="宋体" w:cs="宋体"/>
          <w:u w:val="single"/>
        </w:rPr>
        <w:t xml:space="preserve">                           </w:t>
      </w:r>
    </w:p>
    <w:p>
      <w:pPr>
        <w:spacing w:after="40" w:line="360" w:lineRule="exact"/>
        <w:rPr>
          <w:rFonts w:ascii="宋体" w:hAnsi="宋体" w:cs="宋体"/>
        </w:rPr>
      </w:pPr>
      <w:r>
        <w:rPr>
          <w:rFonts w:hint="eastAsia" w:ascii="宋体" w:hAnsi="宋体" w:cs="宋体"/>
        </w:rPr>
        <w:t>联系人：</w:t>
      </w:r>
      <w:r>
        <w:rPr>
          <w:rFonts w:hint="eastAsia" w:ascii="宋体" w:hAnsi="宋体" w:cs="宋体"/>
          <w:u w:val="single"/>
        </w:rPr>
        <w:t xml:space="preserve">                </w:t>
      </w:r>
      <w:r>
        <w:rPr>
          <w:rFonts w:hint="eastAsia" w:ascii="宋体" w:hAnsi="宋体" w:cs="宋体"/>
          <w:u w:val="single"/>
          <w:lang w:val="en-US" w:eastAsia="zh-CN"/>
        </w:rPr>
        <w:t xml:space="preserve">   </w:t>
      </w:r>
      <w:r>
        <w:rPr>
          <w:rFonts w:hint="eastAsia" w:ascii="宋体" w:hAnsi="宋体" w:cs="宋体"/>
          <w:u w:val="single"/>
        </w:rPr>
        <w:t xml:space="preserve">  </w:t>
      </w:r>
      <w:r>
        <w:rPr>
          <w:rFonts w:hint="eastAsia" w:ascii="宋体" w:hAnsi="宋体" w:cs="宋体"/>
          <w:u w:val="single"/>
          <w:lang w:val="en-US" w:eastAsia="zh-CN"/>
        </w:rPr>
        <w:t>L</w:t>
      </w:r>
      <w:r>
        <w:rPr>
          <w:rFonts w:hint="eastAsia" w:ascii="宋体" w:hAnsi="宋体" w:cs="宋体"/>
          <w:u w:val="single"/>
        </w:rPr>
        <w:t xml:space="preserve">esley                         </w:t>
      </w:r>
    </w:p>
    <w:p>
      <w:pPr>
        <w:spacing w:after="40" w:line="360" w:lineRule="exact"/>
        <w:rPr>
          <w:rFonts w:ascii="宋体" w:hAnsi="宋体" w:cs="宋体"/>
        </w:rPr>
      </w:pPr>
      <w:r>
        <w:rPr>
          <w:rFonts w:hint="eastAsia" w:ascii="宋体" w:hAnsi="宋体" w:cs="宋体"/>
        </w:rPr>
        <w:t>电子邮件：</w:t>
      </w:r>
      <w:r>
        <w:rPr>
          <w:rFonts w:hint="eastAsia" w:ascii="宋体" w:hAnsi="宋体" w:cs="宋体"/>
          <w:u w:val="single"/>
        </w:rPr>
        <w:t xml:space="preserve">               lesley.ma@ubs-cn.com         </w:t>
      </w:r>
      <w:r>
        <w:rPr>
          <w:rFonts w:hint="eastAsia" w:ascii="宋体" w:hAnsi="宋体" w:cs="宋体"/>
          <w:u w:val="single"/>
          <w:lang w:val="en-US" w:eastAsia="zh-CN"/>
        </w:rPr>
        <w:t xml:space="preserve"> </w:t>
      </w:r>
      <w:r>
        <w:rPr>
          <w:rFonts w:hint="eastAsia" w:ascii="宋体" w:hAnsi="宋体" w:cs="宋体"/>
          <w:u w:val="single"/>
        </w:rPr>
        <w:t xml:space="preserve">     </w:t>
      </w:r>
    </w:p>
    <w:p>
      <w:pPr>
        <w:spacing w:after="40" w:line="360" w:lineRule="exact"/>
        <w:rPr>
          <w:rFonts w:ascii="宋体" w:hAnsi="宋体" w:cs="宋体"/>
        </w:rPr>
      </w:pPr>
      <w:r>
        <w:rPr>
          <w:rFonts w:hint="eastAsia" w:ascii="宋体" w:hAnsi="宋体" w:cs="宋体"/>
        </w:rPr>
        <w:t xml:space="preserve">乙方：   </w:t>
      </w:r>
    </w:p>
    <w:p>
      <w:pPr>
        <w:spacing w:after="40" w:line="360" w:lineRule="exact"/>
        <w:rPr>
          <w:rFonts w:ascii="宋体" w:hAnsi="宋体" w:cs="宋体"/>
        </w:rPr>
      </w:pPr>
      <w:r>
        <w:rPr>
          <w:rFonts w:hint="eastAsia" w:ascii="宋体" w:hAnsi="宋体" w:cs="宋体"/>
        </w:rPr>
        <w:t>地  址：</w:t>
      </w:r>
      <w:r>
        <w:rPr>
          <w:rFonts w:hint="eastAsia" w:ascii="宋体" w:hAnsi="宋体" w:cs="宋体"/>
          <w:u w:val="single"/>
        </w:rPr>
        <w:t xml:space="preserve">     上海市静安区恒通路268号凯德星贸大厦26层      </w:t>
      </w:r>
    </w:p>
    <w:p>
      <w:pPr>
        <w:spacing w:after="40" w:line="360" w:lineRule="exact"/>
        <w:rPr>
          <w:rFonts w:ascii="宋体" w:hAnsi="宋体" w:cs="宋体"/>
        </w:rPr>
      </w:pPr>
      <w:r>
        <w:rPr>
          <w:rFonts w:hint="eastAsia" w:ascii="宋体" w:hAnsi="宋体" w:cs="宋体"/>
        </w:rPr>
        <w:t>电  话：</w:t>
      </w:r>
      <w:r>
        <w:rPr>
          <w:rFonts w:hint="eastAsia" w:ascii="宋体" w:hAnsi="宋体" w:cs="宋体"/>
          <w:u w:val="single"/>
        </w:rPr>
        <w:t xml:space="preserve">                   18720979784                      </w:t>
      </w:r>
    </w:p>
    <w:p>
      <w:pPr>
        <w:spacing w:after="40" w:line="360" w:lineRule="exact"/>
        <w:rPr>
          <w:rFonts w:ascii="宋体" w:hAnsi="宋体" w:cs="宋体"/>
        </w:rPr>
      </w:pPr>
      <w:r>
        <w:rPr>
          <w:rFonts w:hint="eastAsia" w:ascii="宋体" w:hAnsi="宋体" w:cs="宋体"/>
        </w:rPr>
        <w:t>传  真：</w:t>
      </w:r>
      <w:r>
        <w:rPr>
          <w:rFonts w:hint="eastAsia" w:ascii="宋体" w:hAnsi="宋体" w:cs="宋体"/>
          <w:u w:val="single"/>
        </w:rPr>
        <w:t xml:space="preserve">                        -                           </w:t>
      </w:r>
    </w:p>
    <w:p>
      <w:pPr>
        <w:spacing w:after="40" w:line="360" w:lineRule="exact"/>
        <w:rPr>
          <w:rFonts w:ascii="宋体" w:hAnsi="宋体" w:cs="宋体"/>
        </w:rPr>
      </w:pPr>
      <w:r>
        <w:rPr>
          <w:rFonts w:hint="eastAsia" w:ascii="宋体" w:hAnsi="宋体" w:cs="宋体"/>
        </w:rPr>
        <w:t>联系人：</w:t>
      </w:r>
      <w:r>
        <w:rPr>
          <w:rFonts w:hint="eastAsia" w:ascii="宋体" w:hAnsi="宋体" w:cs="宋体"/>
          <w:u w:val="single"/>
        </w:rPr>
        <w:t xml:space="preserve">                       </w:t>
      </w:r>
      <w:r>
        <w:rPr>
          <w:rFonts w:hint="eastAsia" w:ascii="宋体" w:hAnsi="宋体" w:cs="宋体"/>
          <w:u w:val="single"/>
          <w:lang w:val="en-US" w:eastAsia="zh-CN"/>
        </w:rPr>
        <w:t>Sunny</w:t>
      </w:r>
      <w:r>
        <w:rPr>
          <w:rFonts w:hint="eastAsia" w:ascii="宋体" w:hAnsi="宋体" w:cs="宋体"/>
          <w:u w:val="single"/>
        </w:rPr>
        <w:t xml:space="preserve">             </w:t>
      </w:r>
      <w:r>
        <w:rPr>
          <w:rFonts w:hint="eastAsia" w:ascii="宋体" w:hAnsi="宋体" w:cs="宋体"/>
          <w:u w:val="single"/>
          <w:lang w:val="en-US" w:eastAsia="zh-CN"/>
        </w:rPr>
        <w:t xml:space="preserve"> </w:t>
      </w:r>
      <w:r>
        <w:rPr>
          <w:rFonts w:hint="eastAsia" w:ascii="宋体" w:hAnsi="宋体" w:cs="宋体"/>
          <w:u w:val="single"/>
        </w:rPr>
        <w:t xml:space="preserve">          </w:t>
      </w:r>
    </w:p>
    <w:p>
      <w:pPr>
        <w:spacing w:after="40" w:line="360" w:lineRule="exact"/>
        <w:rPr>
          <w:rFonts w:ascii="宋体" w:hAnsi="宋体" w:cs="宋体"/>
          <w:u w:val="single"/>
        </w:rPr>
      </w:pPr>
      <w:r>
        <w:rPr>
          <w:rFonts w:hint="eastAsia" w:ascii="宋体" w:hAnsi="宋体" w:cs="宋体"/>
        </w:rPr>
        <w:t>电子邮件：</w:t>
      </w:r>
      <w:r>
        <w:rPr>
          <w:rFonts w:hint="eastAsia" w:ascii="宋体" w:hAnsi="宋体" w:cs="宋体"/>
          <w:u w:val="single"/>
        </w:rPr>
        <w:t xml:space="preserve">       mingyue.yin@chinatalentgroup.com           </w:t>
      </w:r>
    </w:p>
    <w:p>
      <w:pPr>
        <w:spacing w:after="40" w:line="360" w:lineRule="exact"/>
        <w:rPr>
          <w:rFonts w:ascii="宋体" w:hAnsi="宋体" w:cs="宋体"/>
          <w:szCs w:val="21"/>
        </w:rPr>
      </w:pPr>
      <w:r>
        <w:rPr>
          <w:rFonts w:hint="eastAsia" w:ascii="宋体" w:hAnsi="宋体" w:cs="宋体"/>
          <w:szCs w:val="21"/>
        </w:rPr>
        <w:t>通知或通讯被认定送达的时间应按如下规定：</w:t>
      </w:r>
    </w:p>
    <w:p>
      <w:pPr>
        <w:pStyle w:val="18"/>
        <w:widowControl/>
        <w:numPr>
          <w:ilvl w:val="0"/>
          <w:numId w:val="14"/>
        </w:numPr>
        <w:tabs>
          <w:tab w:val="left" w:pos="1260"/>
        </w:tabs>
        <w:autoSpaceDE w:val="0"/>
        <w:autoSpaceDN w:val="0"/>
        <w:spacing w:after="40" w:line="360" w:lineRule="exact"/>
        <w:textAlignment w:val="bottom"/>
        <w:rPr>
          <w:rFonts w:hAnsi="宋体" w:cs="宋体"/>
          <w:color w:val="000000"/>
          <w:sz w:val="21"/>
          <w:szCs w:val="21"/>
        </w:rPr>
      </w:pPr>
      <w:r>
        <w:rPr>
          <w:rFonts w:hint="eastAsia" w:hAnsi="宋体" w:cs="宋体"/>
          <w:sz w:val="21"/>
          <w:szCs w:val="21"/>
        </w:rPr>
        <w:t>如为传真形式，则应以传送记录所显示之时间为准，除非传送之时间为该日下午五时之后，则送达日期应认定为在接收地的下一个营业日；</w:t>
      </w:r>
      <w:r>
        <w:rPr>
          <w:rFonts w:hint="eastAsia" w:hAnsi="宋体" w:cs="宋体"/>
          <w:color w:val="000000"/>
          <w:sz w:val="21"/>
          <w:szCs w:val="21"/>
        </w:rPr>
        <w:t xml:space="preserve"> </w:t>
      </w:r>
    </w:p>
    <w:p>
      <w:pPr>
        <w:pStyle w:val="18"/>
        <w:widowControl/>
        <w:numPr>
          <w:ilvl w:val="0"/>
          <w:numId w:val="14"/>
        </w:numPr>
        <w:tabs>
          <w:tab w:val="left" w:pos="1260"/>
        </w:tabs>
        <w:autoSpaceDE w:val="0"/>
        <w:autoSpaceDN w:val="0"/>
        <w:spacing w:after="40" w:line="360" w:lineRule="exact"/>
        <w:textAlignment w:val="bottom"/>
        <w:rPr>
          <w:rFonts w:hAnsi="宋体" w:cs="宋体"/>
          <w:color w:val="000000"/>
          <w:sz w:val="21"/>
          <w:szCs w:val="21"/>
        </w:rPr>
      </w:pPr>
      <w:r>
        <w:rPr>
          <w:rFonts w:hint="eastAsia" w:hAnsi="宋体" w:cs="宋体"/>
          <w:sz w:val="21"/>
          <w:szCs w:val="21"/>
        </w:rPr>
        <w:t>若为专人派送（包括特快专递方式派送），以收件之日期为准；</w:t>
      </w:r>
    </w:p>
    <w:p>
      <w:pPr>
        <w:pStyle w:val="18"/>
        <w:widowControl/>
        <w:numPr>
          <w:ilvl w:val="0"/>
          <w:numId w:val="14"/>
        </w:numPr>
        <w:tabs>
          <w:tab w:val="left" w:pos="1260"/>
        </w:tabs>
        <w:autoSpaceDE w:val="0"/>
        <w:autoSpaceDN w:val="0"/>
        <w:spacing w:after="40" w:line="360" w:lineRule="exact"/>
        <w:textAlignment w:val="bottom"/>
        <w:rPr>
          <w:rFonts w:hAnsi="宋体" w:cs="宋体"/>
          <w:color w:val="000000"/>
          <w:sz w:val="21"/>
          <w:szCs w:val="21"/>
        </w:rPr>
      </w:pPr>
      <w:r>
        <w:rPr>
          <w:rFonts w:hint="eastAsia" w:hAnsi="宋体" w:cs="宋体"/>
          <w:sz w:val="21"/>
          <w:szCs w:val="21"/>
        </w:rPr>
        <w:t>以挂号邮件递送时，按邮局出具收据之日起十（10）个工作日为准</w:t>
      </w:r>
      <w:r>
        <w:rPr>
          <w:rFonts w:hint="eastAsia" w:hAnsi="宋体" w:cs="宋体"/>
          <w:color w:val="000000"/>
          <w:sz w:val="21"/>
          <w:szCs w:val="21"/>
        </w:rPr>
        <w:t>；</w:t>
      </w:r>
    </w:p>
    <w:p>
      <w:pPr>
        <w:pStyle w:val="18"/>
        <w:widowControl/>
        <w:numPr>
          <w:ilvl w:val="0"/>
          <w:numId w:val="14"/>
        </w:numPr>
        <w:tabs>
          <w:tab w:val="left" w:pos="1260"/>
        </w:tabs>
        <w:autoSpaceDE w:val="0"/>
        <w:autoSpaceDN w:val="0"/>
        <w:spacing w:after="40" w:line="360" w:lineRule="exact"/>
        <w:textAlignment w:val="bottom"/>
        <w:rPr>
          <w:rFonts w:hAnsi="宋体" w:cs="宋体"/>
          <w:color w:val="000000"/>
          <w:sz w:val="21"/>
          <w:szCs w:val="21"/>
        </w:rPr>
      </w:pPr>
      <w:r>
        <w:rPr>
          <w:rFonts w:hint="eastAsia" w:hAnsi="宋体" w:cs="宋体"/>
          <w:sz w:val="21"/>
          <w:szCs w:val="21"/>
        </w:rPr>
        <w:t>以电子邮件方式传送时，应以接受人收到邮件后系统显示的时间为准。</w:t>
      </w:r>
    </w:p>
    <w:p>
      <w:pPr>
        <w:pStyle w:val="18"/>
        <w:numPr>
          <w:ilvl w:val="0"/>
          <w:numId w:val="1"/>
        </w:numPr>
        <w:autoSpaceDE w:val="0"/>
        <w:autoSpaceDN w:val="0"/>
        <w:spacing w:after="40" w:line="360" w:lineRule="exact"/>
        <w:textAlignment w:val="bottom"/>
        <w:rPr>
          <w:rFonts w:hAnsi="宋体" w:cs="宋体"/>
          <w:sz w:val="21"/>
        </w:rPr>
      </w:pPr>
      <w:r>
        <w:rPr>
          <w:rFonts w:hint="eastAsia" w:hAnsi="宋体" w:cs="宋体"/>
          <w:sz w:val="21"/>
        </w:rPr>
        <w:t xml:space="preserve">  本协议附有附件</w:t>
      </w:r>
      <w:r>
        <w:rPr>
          <w:rFonts w:hint="eastAsia" w:hAnsi="宋体" w:cs="宋体"/>
          <w:sz w:val="21"/>
          <w:u w:val="single"/>
        </w:rPr>
        <w:t xml:space="preserve"> </w:t>
      </w:r>
      <w:r>
        <w:rPr>
          <w:rFonts w:hint="eastAsia" w:hAnsi="宋体" w:cs="宋体"/>
          <w:sz w:val="21"/>
          <w:u w:val="single"/>
          <w:lang w:val="en-US" w:eastAsia="zh-CN"/>
        </w:rPr>
        <w:t>2</w:t>
      </w:r>
      <w:r>
        <w:rPr>
          <w:rFonts w:hint="eastAsia" w:hAnsi="宋体" w:cs="宋体"/>
          <w:sz w:val="21"/>
          <w:u w:val="single"/>
        </w:rPr>
        <w:t xml:space="preserve">  </w:t>
      </w:r>
      <w:r>
        <w:rPr>
          <w:rFonts w:hint="eastAsia" w:hAnsi="宋体" w:cs="宋体"/>
          <w:sz w:val="21"/>
        </w:rPr>
        <w:t>份。附件是本协议不可分割的组成部分。本协议一式肆份，甲乙方各执贰份，具有同等法律效力。</w:t>
      </w:r>
    </w:p>
    <w:p>
      <w:pPr>
        <w:pStyle w:val="18"/>
        <w:autoSpaceDE w:val="0"/>
        <w:autoSpaceDN w:val="0"/>
        <w:spacing w:line="400" w:lineRule="exact"/>
        <w:textAlignment w:val="bottom"/>
        <w:rPr>
          <w:rFonts w:hAnsi="宋体" w:cs="宋体"/>
          <w:sz w:val="21"/>
        </w:rPr>
      </w:pPr>
    </w:p>
    <w:p>
      <w:pPr>
        <w:rPr>
          <w:rFonts w:hint="eastAsia" w:ascii="宋体" w:hAnsi="宋体" w:cs="宋体"/>
        </w:rPr>
      </w:pPr>
      <w:r>
        <w:rPr>
          <w:rFonts w:hint="eastAsia" w:ascii="宋体" w:hAnsi="宋体" w:cs="宋体"/>
        </w:rPr>
        <w:br w:type="page"/>
      </w:r>
    </w:p>
    <w:p>
      <w:pPr>
        <w:spacing w:line="400" w:lineRule="exact"/>
        <w:jc w:val="left"/>
        <w:rPr>
          <w:rFonts w:hint="eastAsia" w:ascii="宋体" w:hAnsi="宋体" w:cs="宋体"/>
        </w:rPr>
      </w:pPr>
      <w:r>
        <w:rPr>
          <w:rFonts w:hint="eastAsia" w:ascii="宋体" w:hAnsi="宋体" w:cs="宋体"/>
        </w:rPr>
        <w:t>附件一：服务项目</w:t>
      </w:r>
    </w:p>
    <w:tbl>
      <w:tblPr>
        <w:tblStyle w:val="10"/>
        <w:tblW w:w="10234" w:type="dxa"/>
        <w:tblInd w:w="0" w:type="dxa"/>
        <w:tblLayout w:type="fixed"/>
        <w:tblCellMar>
          <w:top w:w="0" w:type="dxa"/>
          <w:left w:w="0" w:type="dxa"/>
          <w:bottom w:w="0" w:type="dxa"/>
          <w:right w:w="0" w:type="dxa"/>
        </w:tblCellMar>
      </w:tblPr>
      <w:tblGrid>
        <w:gridCol w:w="790"/>
        <w:gridCol w:w="602"/>
        <w:gridCol w:w="1753"/>
        <w:gridCol w:w="5775"/>
        <w:gridCol w:w="1314"/>
      </w:tblGrid>
      <w:tr>
        <w:tblPrEx>
          <w:tblLayout w:type="fixed"/>
          <w:tblCellMar>
            <w:top w:w="0" w:type="dxa"/>
            <w:left w:w="0" w:type="dxa"/>
            <w:bottom w:w="0" w:type="dxa"/>
            <w:right w:w="0" w:type="dxa"/>
          </w:tblCellMar>
        </w:tblPrEx>
        <w:trPr>
          <w:trHeight w:val="300" w:hRule="atLeast"/>
        </w:trPr>
        <w:tc>
          <w:tcPr>
            <w:tcW w:w="790" w:type="dxa"/>
            <w:tcBorders>
              <w:top w:val="single" w:color="000000" w:sz="4" w:space="0"/>
              <w:left w:val="single" w:color="000000" w:sz="4" w:space="0"/>
              <w:bottom w:val="single" w:color="000000" w:sz="4" w:space="0"/>
              <w:right w:val="single" w:color="000000" w:sz="4" w:space="0"/>
            </w:tcBorders>
            <w:shd w:val="clear" w:color="auto" w:fill="C00000"/>
            <w:tcMar>
              <w:top w:w="15" w:type="dxa"/>
              <w:left w:w="15" w:type="dxa"/>
              <w:right w:w="15" w:type="dxa"/>
            </w:tcMar>
            <w:vAlign w:val="center"/>
          </w:tcPr>
          <w:p>
            <w:pPr>
              <w:widowControl/>
              <w:jc w:val="center"/>
              <w:textAlignment w:val="center"/>
              <w:rPr>
                <w:rFonts w:ascii="微软雅黑" w:hAnsi="微软雅黑" w:eastAsia="微软雅黑" w:cs="微软雅黑"/>
                <w:b/>
                <w:color w:val="FFFFFF"/>
                <w:sz w:val="18"/>
                <w:szCs w:val="18"/>
              </w:rPr>
            </w:pPr>
            <w:r>
              <w:rPr>
                <w:rFonts w:hint="eastAsia" w:ascii="微软雅黑" w:hAnsi="微软雅黑" w:eastAsia="微软雅黑" w:cs="微软雅黑"/>
                <w:b/>
                <w:color w:val="FFFFFF"/>
                <w:kern w:val="0"/>
                <w:sz w:val="18"/>
                <w:szCs w:val="18"/>
                <w:lang w:bidi="ar"/>
              </w:rPr>
              <w:t>产品类别</w:t>
            </w:r>
          </w:p>
        </w:tc>
        <w:tc>
          <w:tcPr>
            <w:tcW w:w="602" w:type="dxa"/>
            <w:tcBorders>
              <w:top w:val="single" w:color="000000" w:sz="4" w:space="0"/>
              <w:left w:val="single" w:color="000000" w:sz="4" w:space="0"/>
              <w:bottom w:val="single" w:color="000000" w:sz="4" w:space="0"/>
              <w:right w:val="single" w:color="000000" w:sz="4" w:space="0"/>
            </w:tcBorders>
            <w:shd w:val="clear" w:color="auto" w:fill="C00000"/>
            <w:tcMar>
              <w:top w:w="15" w:type="dxa"/>
              <w:left w:w="15" w:type="dxa"/>
              <w:right w:w="15" w:type="dxa"/>
            </w:tcMar>
            <w:vAlign w:val="center"/>
          </w:tcPr>
          <w:p>
            <w:pPr>
              <w:widowControl/>
              <w:jc w:val="center"/>
              <w:textAlignment w:val="center"/>
              <w:rPr>
                <w:rFonts w:ascii="微软雅黑" w:hAnsi="微软雅黑" w:eastAsia="微软雅黑" w:cs="微软雅黑"/>
                <w:b/>
                <w:color w:val="FFFFFF"/>
                <w:sz w:val="18"/>
                <w:szCs w:val="18"/>
              </w:rPr>
            </w:pPr>
            <w:r>
              <w:rPr>
                <w:rFonts w:hint="eastAsia" w:ascii="微软雅黑" w:hAnsi="微软雅黑" w:eastAsia="微软雅黑" w:cs="微软雅黑"/>
                <w:b/>
                <w:color w:val="FFFFFF"/>
                <w:kern w:val="0"/>
                <w:sz w:val="18"/>
                <w:szCs w:val="18"/>
                <w:lang w:bidi="ar"/>
              </w:rPr>
              <w:t>序号</w:t>
            </w:r>
          </w:p>
        </w:tc>
        <w:tc>
          <w:tcPr>
            <w:tcW w:w="1753" w:type="dxa"/>
            <w:tcBorders>
              <w:top w:val="single" w:color="000000" w:sz="4" w:space="0"/>
              <w:left w:val="single" w:color="000000" w:sz="4" w:space="0"/>
              <w:bottom w:val="single" w:color="000000" w:sz="4" w:space="0"/>
              <w:right w:val="single" w:color="000000" w:sz="4" w:space="0"/>
            </w:tcBorders>
            <w:shd w:val="clear" w:color="auto" w:fill="C00000"/>
            <w:tcMar>
              <w:top w:w="15" w:type="dxa"/>
              <w:left w:w="15" w:type="dxa"/>
              <w:right w:w="15" w:type="dxa"/>
            </w:tcMar>
            <w:vAlign w:val="center"/>
          </w:tcPr>
          <w:p>
            <w:pPr>
              <w:widowControl/>
              <w:jc w:val="center"/>
              <w:textAlignment w:val="center"/>
              <w:rPr>
                <w:rFonts w:ascii="微软雅黑" w:hAnsi="微软雅黑" w:eastAsia="微软雅黑" w:cs="微软雅黑"/>
                <w:b/>
                <w:color w:val="FFFFFF"/>
                <w:sz w:val="18"/>
                <w:szCs w:val="18"/>
              </w:rPr>
            </w:pPr>
            <w:r>
              <w:rPr>
                <w:rFonts w:hint="eastAsia" w:ascii="微软雅黑" w:hAnsi="微软雅黑" w:eastAsia="微软雅黑" w:cs="微软雅黑"/>
                <w:b/>
                <w:color w:val="FFFFFF"/>
                <w:kern w:val="0"/>
                <w:sz w:val="18"/>
                <w:szCs w:val="18"/>
                <w:lang w:bidi="ar"/>
              </w:rPr>
              <w:t>标准服务模块</w:t>
            </w:r>
          </w:p>
        </w:tc>
        <w:tc>
          <w:tcPr>
            <w:tcW w:w="5775" w:type="dxa"/>
            <w:tcBorders>
              <w:top w:val="single" w:color="000000" w:sz="4" w:space="0"/>
              <w:left w:val="single" w:color="000000" w:sz="4" w:space="0"/>
              <w:bottom w:val="single" w:color="000000" w:sz="4" w:space="0"/>
              <w:right w:val="single" w:color="000000" w:sz="4" w:space="0"/>
            </w:tcBorders>
            <w:shd w:val="clear" w:color="auto" w:fill="C00000"/>
            <w:tcMar>
              <w:top w:w="15" w:type="dxa"/>
              <w:left w:w="15" w:type="dxa"/>
              <w:right w:w="15" w:type="dxa"/>
            </w:tcMar>
            <w:vAlign w:val="center"/>
          </w:tcPr>
          <w:p>
            <w:pPr>
              <w:widowControl/>
              <w:jc w:val="center"/>
              <w:textAlignment w:val="center"/>
              <w:rPr>
                <w:rFonts w:ascii="微软雅黑" w:hAnsi="微软雅黑" w:eastAsia="微软雅黑" w:cs="微软雅黑"/>
                <w:b/>
                <w:color w:val="FFFFFF"/>
                <w:sz w:val="18"/>
                <w:szCs w:val="18"/>
              </w:rPr>
            </w:pPr>
            <w:r>
              <w:rPr>
                <w:rFonts w:hint="eastAsia" w:ascii="微软雅黑" w:hAnsi="微软雅黑" w:eastAsia="微软雅黑" w:cs="微软雅黑"/>
                <w:b/>
                <w:color w:val="FFFFFF"/>
                <w:kern w:val="0"/>
                <w:sz w:val="18"/>
                <w:szCs w:val="18"/>
                <w:lang w:bidi="ar"/>
              </w:rPr>
              <w:t>服务内容</w:t>
            </w:r>
          </w:p>
        </w:tc>
        <w:tc>
          <w:tcPr>
            <w:tcW w:w="1314" w:type="dxa"/>
            <w:tcBorders>
              <w:top w:val="single" w:color="000000" w:sz="4" w:space="0"/>
              <w:left w:val="single" w:color="000000" w:sz="4" w:space="0"/>
              <w:bottom w:val="single" w:color="000000" w:sz="4" w:space="0"/>
              <w:right w:val="single" w:color="000000" w:sz="4" w:space="0"/>
            </w:tcBorders>
            <w:shd w:val="clear" w:color="auto" w:fill="C00000"/>
            <w:tcMar>
              <w:top w:w="15" w:type="dxa"/>
              <w:left w:w="15" w:type="dxa"/>
              <w:right w:w="15" w:type="dxa"/>
            </w:tcMar>
            <w:vAlign w:val="center"/>
          </w:tcPr>
          <w:p>
            <w:pPr>
              <w:widowControl/>
              <w:jc w:val="center"/>
              <w:textAlignment w:val="center"/>
              <w:rPr>
                <w:rFonts w:ascii="微软雅黑" w:hAnsi="微软雅黑" w:eastAsia="微软雅黑" w:cs="微软雅黑"/>
                <w:b/>
                <w:color w:val="FFFFFF"/>
                <w:sz w:val="18"/>
                <w:szCs w:val="18"/>
              </w:rPr>
            </w:pPr>
            <w:r>
              <w:rPr>
                <w:rFonts w:hint="eastAsia" w:ascii="微软雅黑" w:hAnsi="微软雅黑" w:eastAsia="微软雅黑" w:cs="微软雅黑"/>
                <w:b/>
                <w:color w:val="FFFFFF"/>
                <w:kern w:val="0"/>
                <w:sz w:val="18"/>
                <w:szCs w:val="18"/>
                <w:lang w:bidi="ar"/>
              </w:rPr>
              <w:t>服务报价</w:t>
            </w:r>
          </w:p>
        </w:tc>
      </w:tr>
      <w:tr>
        <w:tblPrEx>
          <w:tblLayout w:type="fixed"/>
          <w:tblCellMar>
            <w:top w:w="0" w:type="dxa"/>
            <w:left w:w="0" w:type="dxa"/>
            <w:bottom w:w="0" w:type="dxa"/>
            <w:right w:w="0" w:type="dxa"/>
          </w:tblCellMar>
        </w:tblPrEx>
        <w:trPr>
          <w:trHeight w:val="900" w:hRule="atLeast"/>
        </w:trPr>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b/>
                <w:color w:val="000000"/>
                <w:sz w:val="18"/>
                <w:szCs w:val="18"/>
              </w:rPr>
            </w:pPr>
            <w:r>
              <w:rPr>
                <w:rFonts w:hint="eastAsia" w:ascii="微软雅黑" w:hAnsi="微软雅黑" w:eastAsia="微软雅黑" w:cs="微软雅黑"/>
                <w:b/>
                <w:color w:val="000000"/>
                <w:kern w:val="0"/>
                <w:sz w:val="18"/>
                <w:szCs w:val="18"/>
                <w:lang w:bidi="ar"/>
              </w:rPr>
              <w:t>劳务派遣</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b/>
                <w:color w:val="000000"/>
                <w:sz w:val="18"/>
                <w:szCs w:val="18"/>
              </w:rPr>
            </w:pPr>
            <w:r>
              <w:rPr>
                <w:rFonts w:hint="eastAsia" w:ascii="微软雅黑" w:hAnsi="微软雅黑" w:eastAsia="微软雅黑" w:cs="微软雅黑"/>
                <w:b/>
                <w:color w:val="000000"/>
                <w:kern w:val="0"/>
                <w:sz w:val="18"/>
                <w:szCs w:val="18"/>
                <w:lang w:bidi="ar"/>
              </w:rPr>
              <w:t>1</w:t>
            </w:r>
          </w:p>
        </w:tc>
        <w:tc>
          <w:tcPr>
            <w:tcW w:w="1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b/>
                <w:color w:val="000000"/>
                <w:sz w:val="18"/>
                <w:szCs w:val="18"/>
              </w:rPr>
            </w:pPr>
            <w:r>
              <w:rPr>
                <w:rFonts w:hint="eastAsia" w:ascii="微软雅黑" w:hAnsi="微软雅黑" w:eastAsia="微软雅黑" w:cs="微软雅黑"/>
                <w:b/>
                <w:color w:val="000000"/>
                <w:kern w:val="0"/>
                <w:sz w:val="18"/>
                <w:szCs w:val="18"/>
                <w:lang w:bidi="ar"/>
              </w:rPr>
              <w:t>标准工资及所得税计算</w:t>
            </w:r>
          </w:p>
        </w:tc>
        <w:tc>
          <w:tcPr>
            <w:tcW w:w="5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根据客户提供的员工基本工资数据，结合请假，加班，调休，绩效考核，其他福利等多种因素，通过HRO系统自动准确的计算员工应纳税工资金额，员工个人所得税及实发工资金额。</w:t>
            </w:r>
          </w:p>
        </w:tc>
        <w:tc>
          <w:tcPr>
            <w:tcW w:w="131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val="en-US" w:eastAsia="zh-CN" w:bidi="ar"/>
              </w:rPr>
              <w:t>200</w:t>
            </w:r>
            <w:r>
              <w:rPr>
                <w:rFonts w:hint="eastAsia" w:ascii="微软雅黑" w:hAnsi="微软雅黑" w:eastAsia="微软雅黑" w:cs="微软雅黑"/>
                <w:color w:val="000000"/>
                <w:kern w:val="0"/>
                <w:sz w:val="18"/>
                <w:szCs w:val="18"/>
                <w:lang w:bidi="ar"/>
              </w:rPr>
              <w:t>元/人/月</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（不含税）</w:t>
            </w:r>
          </w:p>
          <w:p>
            <w:pPr>
              <w:widowControl/>
              <w:jc w:val="center"/>
              <w:textAlignment w:val="center"/>
              <w:rPr>
                <w:rFonts w:ascii="微软雅黑" w:hAnsi="微软雅黑" w:eastAsia="微软雅黑" w:cs="微软雅黑"/>
                <w:color w:val="000000"/>
                <w:kern w:val="0"/>
                <w:sz w:val="18"/>
                <w:szCs w:val="18"/>
                <w:lang w:bidi="ar"/>
              </w:rPr>
            </w:pPr>
          </w:p>
          <w:p>
            <w:pPr>
              <w:widowControl/>
              <w:jc w:val="center"/>
              <w:rPr>
                <w:rFonts w:ascii="微软雅黑" w:hAnsi="微软雅黑" w:eastAsia="微软雅黑" w:cs="微软雅黑"/>
                <w:color w:val="000000"/>
                <w:kern w:val="0"/>
                <w:sz w:val="16"/>
                <w:szCs w:val="16"/>
              </w:rPr>
            </w:pPr>
            <w:r>
              <w:rPr>
                <w:rFonts w:hint="eastAsia" w:ascii="微软雅黑" w:hAnsi="微软雅黑" w:eastAsia="微软雅黑" w:cs="微软雅黑"/>
                <w:color w:val="000000"/>
                <w:kern w:val="0"/>
                <w:sz w:val="16"/>
                <w:szCs w:val="16"/>
              </w:rPr>
              <w:t>上海残疾人保障金按固定定额40元收取费用，深圳残疾人保障金按固定金额25元收取费用</w:t>
            </w:r>
          </w:p>
          <w:p>
            <w:pPr>
              <w:widowControl/>
              <w:jc w:val="center"/>
              <w:textAlignment w:val="center"/>
              <w:rPr>
                <w:rFonts w:ascii="微软雅黑" w:hAnsi="微软雅黑" w:eastAsia="微软雅黑" w:cs="微软雅黑"/>
                <w:color w:val="000000"/>
                <w:kern w:val="0"/>
                <w:sz w:val="18"/>
                <w:szCs w:val="18"/>
                <w:lang w:bidi="ar"/>
              </w:rPr>
            </w:pPr>
          </w:p>
        </w:tc>
      </w:tr>
      <w:tr>
        <w:tblPrEx>
          <w:tblLayout w:type="fixed"/>
          <w:tblCellMar>
            <w:top w:w="0" w:type="dxa"/>
            <w:left w:w="0" w:type="dxa"/>
            <w:bottom w:w="0" w:type="dxa"/>
            <w:right w:w="0" w:type="dxa"/>
          </w:tblCellMar>
        </w:tblPrEx>
        <w:trPr>
          <w:trHeight w:val="1260" w:hRule="atLeast"/>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b/>
                <w:color w:val="000000"/>
                <w:sz w:val="18"/>
                <w:szCs w:val="18"/>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b/>
                <w:color w:val="000000"/>
                <w:sz w:val="18"/>
                <w:szCs w:val="18"/>
              </w:rPr>
            </w:pPr>
            <w:r>
              <w:rPr>
                <w:rFonts w:hint="eastAsia" w:ascii="微软雅黑" w:hAnsi="微软雅黑" w:eastAsia="微软雅黑" w:cs="微软雅黑"/>
                <w:b/>
                <w:color w:val="000000"/>
                <w:kern w:val="0"/>
                <w:sz w:val="18"/>
                <w:szCs w:val="18"/>
                <w:lang w:bidi="ar"/>
              </w:rPr>
              <w:t>2</w:t>
            </w:r>
          </w:p>
        </w:tc>
        <w:tc>
          <w:tcPr>
            <w:tcW w:w="1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b/>
                <w:color w:val="000000"/>
                <w:sz w:val="18"/>
                <w:szCs w:val="18"/>
              </w:rPr>
            </w:pPr>
            <w:r>
              <w:rPr>
                <w:rFonts w:hint="eastAsia" w:ascii="微软雅黑" w:hAnsi="微软雅黑" w:eastAsia="微软雅黑" w:cs="微软雅黑"/>
                <w:b/>
                <w:color w:val="000000"/>
                <w:kern w:val="0"/>
                <w:sz w:val="18"/>
                <w:szCs w:val="18"/>
                <w:lang w:bidi="ar"/>
              </w:rPr>
              <w:t>社保及公积金计算</w:t>
            </w:r>
          </w:p>
        </w:tc>
        <w:tc>
          <w:tcPr>
            <w:tcW w:w="5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 xml:space="preserve">a. 根据客户提供的员工缴费基数及当地政策规定，按月通过HRO系统计算出公司和个人应缴纳的各项社会保险及公积金的金额。 </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b.每年基数调整时，根据客户提供的员工缴纳基数的变更情况，办理社会保险和公积金基数的调整手续，并通过HRO系统计算出变更后公司和个人应缴纳的各项社会保险及公积金的金额</w:t>
            </w:r>
          </w:p>
        </w:tc>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18"/>
                <w:szCs w:val="18"/>
              </w:rPr>
            </w:pPr>
          </w:p>
        </w:tc>
      </w:tr>
      <w:tr>
        <w:tblPrEx>
          <w:tblLayout w:type="fixed"/>
          <w:tblCellMar>
            <w:top w:w="0" w:type="dxa"/>
            <w:left w:w="0" w:type="dxa"/>
            <w:bottom w:w="0" w:type="dxa"/>
            <w:right w:w="0" w:type="dxa"/>
          </w:tblCellMar>
        </w:tblPrEx>
        <w:trPr>
          <w:trHeight w:val="1240" w:hRule="atLeast"/>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b/>
                <w:color w:val="000000"/>
                <w:sz w:val="18"/>
                <w:szCs w:val="18"/>
              </w:rPr>
            </w:pPr>
          </w:p>
        </w:tc>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b/>
                <w:color w:val="000000"/>
                <w:sz w:val="18"/>
                <w:szCs w:val="18"/>
              </w:rPr>
            </w:pPr>
            <w:r>
              <w:rPr>
                <w:rFonts w:hint="eastAsia" w:ascii="微软雅黑" w:hAnsi="微软雅黑" w:eastAsia="微软雅黑" w:cs="微软雅黑"/>
                <w:b/>
                <w:color w:val="000000"/>
                <w:kern w:val="0"/>
                <w:sz w:val="18"/>
                <w:szCs w:val="18"/>
                <w:lang w:bidi="ar"/>
              </w:rPr>
              <w:t>3</w:t>
            </w:r>
          </w:p>
        </w:tc>
        <w:tc>
          <w:tcPr>
            <w:tcW w:w="17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b/>
                <w:color w:val="000000"/>
                <w:sz w:val="18"/>
                <w:szCs w:val="18"/>
              </w:rPr>
            </w:pPr>
            <w:r>
              <w:rPr>
                <w:rFonts w:hint="eastAsia" w:ascii="微软雅黑" w:hAnsi="微软雅黑" w:eastAsia="微软雅黑" w:cs="微软雅黑"/>
                <w:b/>
                <w:color w:val="000000"/>
                <w:kern w:val="0"/>
                <w:sz w:val="18"/>
                <w:szCs w:val="18"/>
                <w:lang w:bidi="ar"/>
              </w:rPr>
              <w:t>入离职手续办理及社保及公积金的缴纳与理赔</w:t>
            </w:r>
          </w:p>
        </w:tc>
        <w:tc>
          <w:tcPr>
            <w:tcW w:w="57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 xml:space="preserve">a. 根据客户提供的员工增减员表，及时与员工联系，了解员工情况，督促员工提交材料，按照员工实际情况收集员工资料。 </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b. 按照当地政策要求办理员工用、退工手续。</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c. 为符合条件的员工办理相关社保和公积金的转移手续。</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 xml:space="preserve">d. 根据客户提供的增员表，督促员工及时提交资料，收齐资料后，按时、准确的缴纳到当地社会保险及公积金中心； </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e. 为符合条件的员工及时、准确的办理医疗保险的报销手续，提供分割单、医保咨询等；</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f. 为符合条件的员工及时、准确的办理生育津贴和生育医疗报销，生育咨询等；</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g. 在鉴定时效内，帮助员工办理工伤理赔及工伤定级等事宜；</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h. 为员工查询住房公积金情况，协助员工办理住房公积金支取、并户等工作。</w:t>
            </w:r>
          </w:p>
        </w:tc>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18"/>
                <w:szCs w:val="18"/>
              </w:rPr>
            </w:pPr>
          </w:p>
        </w:tc>
      </w:tr>
      <w:tr>
        <w:tblPrEx>
          <w:tblLayout w:type="fixed"/>
          <w:tblCellMar>
            <w:top w:w="0" w:type="dxa"/>
            <w:left w:w="0" w:type="dxa"/>
            <w:bottom w:w="0" w:type="dxa"/>
            <w:right w:w="0" w:type="dxa"/>
          </w:tblCellMar>
        </w:tblPrEx>
        <w:trPr>
          <w:trHeight w:val="2020" w:hRule="atLeast"/>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b/>
                <w:color w:val="000000"/>
                <w:sz w:val="18"/>
                <w:szCs w:val="18"/>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b/>
                <w:color w:val="000000"/>
                <w:sz w:val="18"/>
                <w:szCs w:val="18"/>
              </w:rPr>
            </w:pPr>
          </w:p>
        </w:tc>
        <w:tc>
          <w:tcPr>
            <w:tcW w:w="17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b/>
                <w:color w:val="000000"/>
                <w:sz w:val="18"/>
                <w:szCs w:val="18"/>
              </w:rPr>
            </w:pPr>
          </w:p>
        </w:tc>
        <w:tc>
          <w:tcPr>
            <w:tcW w:w="57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微软雅黑" w:hAnsi="微软雅黑" w:eastAsia="微软雅黑" w:cs="微软雅黑"/>
                <w:color w:val="000000"/>
                <w:sz w:val="18"/>
                <w:szCs w:val="18"/>
              </w:rPr>
            </w:pPr>
          </w:p>
        </w:tc>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18"/>
                <w:szCs w:val="18"/>
              </w:rPr>
            </w:pPr>
          </w:p>
        </w:tc>
      </w:tr>
      <w:tr>
        <w:tblPrEx>
          <w:tblLayout w:type="fixed"/>
          <w:tblCellMar>
            <w:top w:w="0" w:type="dxa"/>
            <w:left w:w="0" w:type="dxa"/>
            <w:bottom w:w="0" w:type="dxa"/>
            <w:right w:w="0" w:type="dxa"/>
          </w:tblCellMar>
        </w:tblPrEx>
        <w:trPr>
          <w:trHeight w:val="580" w:hRule="atLeast"/>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b/>
                <w:color w:val="000000"/>
                <w:sz w:val="18"/>
                <w:szCs w:val="18"/>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b/>
                <w:color w:val="000000"/>
                <w:sz w:val="18"/>
                <w:szCs w:val="18"/>
              </w:rPr>
            </w:pPr>
            <w:r>
              <w:rPr>
                <w:rFonts w:hint="eastAsia" w:ascii="微软雅黑" w:hAnsi="微软雅黑" w:eastAsia="微软雅黑" w:cs="微软雅黑"/>
                <w:b/>
                <w:color w:val="000000"/>
                <w:kern w:val="0"/>
                <w:sz w:val="18"/>
                <w:szCs w:val="18"/>
                <w:lang w:bidi="ar"/>
              </w:rPr>
              <w:t>4</w:t>
            </w:r>
          </w:p>
        </w:tc>
        <w:tc>
          <w:tcPr>
            <w:tcW w:w="1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b/>
                <w:color w:val="000000"/>
                <w:sz w:val="18"/>
                <w:szCs w:val="18"/>
              </w:rPr>
            </w:pPr>
            <w:r>
              <w:rPr>
                <w:rFonts w:hint="eastAsia" w:ascii="微软雅黑" w:hAnsi="微软雅黑" w:eastAsia="微软雅黑" w:cs="微软雅黑"/>
                <w:b/>
                <w:color w:val="000000"/>
                <w:kern w:val="0"/>
                <w:sz w:val="18"/>
                <w:szCs w:val="18"/>
                <w:lang w:bidi="ar"/>
              </w:rPr>
              <w:t>工资发放及所得税缴纳</w:t>
            </w:r>
          </w:p>
        </w:tc>
        <w:tc>
          <w:tcPr>
            <w:tcW w:w="5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为员工发放工资、代扣代缴个人所得税</w:t>
            </w:r>
          </w:p>
        </w:tc>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18"/>
                <w:szCs w:val="18"/>
              </w:rPr>
            </w:pPr>
          </w:p>
        </w:tc>
      </w:tr>
      <w:tr>
        <w:tblPrEx>
          <w:tblLayout w:type="fixed"/>
          <w:tblCellMar>
            <w:top w:w="0" w:type="dxa"/>
            <w:left w:w="0" w:type="dxa"/>
            <w:bottom w:w="0" w:type="dxa"/>
            <w:right w:w="0" w:type="dxa"/>
          </w:tblCellMar>
        </w:tblPrEx>
        <w:trPr>
          <w:trHeight w:val="660" w:hRule="atLeast"/>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b/>
                <w:color w:val="000000"/>
                <w:sz w:val="18"/>
                <w:szCs w:val="18"/>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b/>
                <w:color w:val="000000"/>
                <w:sz w:val="18"/>
                <w:szCs w:val="18"/>
              </w:rPr>
            </w:pPr>
            <w:r>
              <w:rPr>
                <w:rFonts w:hint="eastAsia" w:ascii="微软雅黑" w:hAnsi="微软雅黑" w:eastAsia="微软雅黑" w:cs="微软雅黑"/>
                <w:b/>
                <w:color w:val="000000"/>
                <w:kern w:val="0"/>
                <w:sz w:val="18"/>
                <w:szCs w:val="18"/>
                <w:lang w:bidi="ar"/>
              </w:rPr>
              <w:t>5</w:t>
            </w:r>
          </w:p>
        </w:tc>
        <w:tc>
          <w:tcPr>
            <w:tcW w:w="1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b/>
                <w:color w:val="000000"/>
                <w:sz w:val="18"/>
                <w:szCs w:val="18"/>
              </w:rPr>
            </w:pPr>
            <w:r>
              <w:rPr>
                <w:rFonts w:hint="eastAsia" w:ascii="微软雅黑" w:hAnsi="微软雅黑" w:eastAsia="微软雅黑" w:cs="微软雅黑"/>
                <w:b/>
                <w:color w:val="000000"/>
                <w:kern w:val="0"/>
                <w:sz w:val="18"/>
                <w:szCs w:val="18"/>
                <w:lang w:bidi="ar"/>
              </w:rPr>
              <w:t>签订劳动合同</w:t>
            </w:r>
          </w:p>
        </w:tc>
        <w:tc>
          <w:tcPr>
            <w:tcW w:w="5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a. 签订与员工之间的劳动合同；</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b. 并由各地客服保管员工材料及劳动合同等员工资料，且进行系统员工劳动合同上传备份操作。</w:t>
            </w:r>
          </w:p>
        </w:tc>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18"/>
                <w:szCs w:val="18"/>
              </w:rPr>
            </w:pPr>
          </w:p>
        </w:tc>
      </w:tr>
      <w:tr>
        <w:tblPrEx>
          <w:tblLayout w:type="fixed"/>
          <w:tblCellMar>
            <w:top w:w="0" w:type="dxa"/>
            <w:left w:w="0" w:type="dxa"/>
            <w:bottom w:w="0" w:type="dxa"/>
            <w:right w:w="0" w:type="dxa"/>
          </w:tblCellMar>
        </w:tblPrEx>
        <w:trPr>
          <w:trHeight w:val="700" w:hRule="atLeast"/>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b/>
                <w:color w:val="000000"/>
                <w:sz w:val="18"/>
                <w:szCs w:val="18"/>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b/>
                <w:color w:val="000000"/>
                <w:sz w:val="18"/>
                <w:szCs w:val="18"/>
              </w:rPr>
            </w:pPr>
            <w:r>
              <w:rPr>
                <w:rFonts w:hint="eastAsia" w:ascii="微软雅黑" w:hAnsi="微软雅黑" w:eastAsia="微软雅黑" w:cs="微软雅黑"/>
                <w:b/>
                <w:color w:val="000000"/>
                <w:kern w:val="0"/>
                <w:sz w:val="18"/>
                <w:szCs w:val="18"/>
                <w:lang w:bidi="ar"/>
              </w:rPr>
              <w:t>6</w:t>
            </w:r>
          </w:p>
        </w:tc>
        <w:tc>
          <w:tcPr>
            <w:tcW w:w="1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b/>
                <w:color w:val="000000"/>
                <w:sz w:val="18"/>
                <w:szCs w:val="18"/>
              </w:rPr>
            </w:pPr>
            <w:r>
              <w:rPr>
                <w:rFonts w:hint="eastAsia" w:ascii="微软雅黑" w:hAnsi="微软雅黑" w:eastAsia="微软雅黑" w:cs="微软雅黑"/>
                <w:b/>
                <w:color w:val="000000"/>
                <w:kern w:val="0"/>
                <w:sz w:val="18"/>
                <w:szCs w:val="18"/>
                <w:lang w:bidi="ar"/>
              </w:rPr>
              <w:t>社保政策咨询</w:t>
            </w:r>
          </w:p>
        </w:tc>
        <w:tc>
          <w:tcPr>
            <w:tcW w:w="5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由客服为客户提供各地最新的社保政策，并解答客户或员工在社会保险政策方面的问题。</w:t>
            </w:r>
          </w:p>
        </w:tc>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18"/>
                <w:szCs w:val="18"/>
              </w:rPr>
            </w:pPr>
          </w:p>
        </w:tc>
      </w:tr>
      <w:tr>
        <w:tblPrEx>
          <w:tblLayout w:type="fixed"/>
          <w:tblCellMar>
            <w:top w:w="0" w:type="dxa"/>
            <w:left w:w="0" w:type="dxa"/>
            <w:bottom w:w="0" w:type="dxa"/>
            <w:right w:w="0" w:type="dxa"/>
          </w:tblCellMar>
        </w:tblPrEx>
        <w:trPr>
          <w:trHeight w:val="570" w:hRule="atLeast"/>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b/>
                <w:color w:val="000000"/>
                <w:sz w:val="18"/>
                <w:szCs w:val="18"/>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b/>
                <w:color w:val="000000"/>
                <w:sz w:val="18"/>
                <w:szCs w:val="18"/>
              </w:rPr>
            </w:pPr>
            <w:r>
              <w:rPr>
                <w:rFonts w:hint="eastAsia" w:ascii="微软雅黑" w:hAnsi="微软雅黑" w:eastAsia="微软雅黑" w:cs="微软雅黑"/>
                <w:b/>
                <w:color w:val="000000"/>
                <w:kern w:val="0"/>
                <w:sz w:val="18"/>
                <w:szCs w:val="18"/>
                <w:lang w:bidi="ar"/>
              </w:rPr>
              <w:t>7</w:t>
            </w:r>
          </w:p>
        </w:tc>
        <w:tc>
          <w:tcPr>
            <w:tcW w:w="1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b/>
                <w:color w:val="000000"/>
                <w:sz w:val="18"/>
                <w:szCs w:val="18"/>
              </w:rPr>
            </w:pPr>
            <w:r>
              <w:rPr>
                <w:rFonts w:hint="eastAsia" w:ascii="微软雅黑" w:hAnsi="微软雅黑" w:eastAsia="微软雅黑" w:cs="微软雅黑"/>
                <w:b/>
                <w:color w:val="000000"/>
                <w:kern w:val="0"/>
                <w:sz w:val="18"/>
                <w:szCs w:val="18"/>
                <w:lang w:bidi="ar"/>
              </w:rPr>
              <w:t>客户端报表（社保报表、工资报表）</w:t>
            </w:r>
          </w:p>
        </w:tc>
        <w:tc>
          <w:tcPr>
            <w:tcW w:w="5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提供客户端社保报表或工资报表</w:t>
            </w:r>
          </w:p>
        </w:tc>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18"/>
                <w:szCs w:val="18"/>
              </w:rPr>
            </w:pPr>
          </w:p>
        </w:tc>
      </w:tr>
    </w:tbl>
    <w:p>
      <w:pPr>
        <w:spacing w:line="400" w:lineRule="exact"/>
        <w:jc w:val="left"/>
        <w:rPr>
          <w:rFonts w:hint="eastAsia" w:ascii="宋体" w:hAnsi="宋体" w:cs="宋体"/>
        </w:rPr>
      </w:pPr>
    </w:p>
    <w:p>
      <w:pPr>
        <w:spacing w:line="400" w:lineRule="exact"/>
        <w:jc w:val="left"/>
        <w:rPr>
          <w:rFonts w:ascii="宋体" w:hAnsi="宋体" w:cs="宋体"/>
          <w:b w:val="0"/>
          <w:bCs w:val="0"/>
          <w:szCs w:val="21"/>
        </w:rPr>
      </w:pPr>
      <w:r>
        <w:rPr>
          <w:rFonts w:hint="eastAsia" w:ascii="宋体" w:hAnsi="宋体" w:cs="宋体"/>
          <w:b w:val="0"/>
          <w:bCs w:val="0"/>
          <w:szCs w:val="21"/>
        </w:rPr>
        <w:t>上述服务费价格为不含税价格，税金需另行支付，服务费税点为上述费用的5%</w:t>
      </w:r>
    </w:p>
    <w:p>
      <w:pPr>
        <w:rPr>
          <w:rFonts w:hint="eastAsia" w:ascii="宋体" w:hAnsi="宋体" w:cs="宋体"/>
        </w:rPr>
      </w:pPr>
      <w:r>
        <w:rPr>
          <w:rFonts w:hint="eastAsia" w:ascii="宋体" w:hAnsi="宋体" w:cs="宋体"/>
        </w:rPr>
        <w:br w:type="page"/>
      </w:r>
    </w:p>
    <w:p>
      <w:pPr>
        <w:spacing w:line="400" w:lineRule="exact"/>
        <w:jc w:val="left"/>
        <w:rPr>
          <w:rFonts w:hint="eastAsia" w:ascii="宋体" w:hAnsi="宋体" w:cs="宋体"/>
          <w:szCs w:val="21"/>
        </w:rPr>
      </w:pPr>
      <w:r>
        <w:rPr>
          <w:rFonts w:hint="eastAsia" w:ascii="宋体" w:hAnsi="宋体" w:cs="宋体"/>
        </w:rPr>
        <w:t>附件二：</w:t>
      </w:r>
      <w:r>
        <w:rPr>
          <w:rFonts w:hint="eastAsia" w:ascii="宋体" w:hAnsi="宋体" w:cs="宋体"/>
          <w:szCs w:val="21"/>
        </w:rPr>
        <w:t>易智汇易才云平台操作手册</w:t>
      </w:r>
    </w:p>
    <w:p>
      <w:pPr>
        <w:spacing w:line="400" w:lineRule="exact"/>
        <w:jc w:val="left"/>
        <w:rPr>
          <w:rFonts w:hint="eastAsia" w:ascii="宋体" w:hAnsi="宋体" w:cs="宋体"/>
          <w:color w:val="auto"/>
          <w:szCs w:val="21"/>
        </w:rPr>
      </w:pPr>
      <w:r>
        <w:rPr>
          <w:rFonts w:hint="eastAsia" w:ascii="宋体" w:hAnsi="宋体" w:eastAsia="宋体" w:cs="宋体"/>
          <w:color w:val="auto"/>
          <w:szCs w:val="21"/>
        </w:rPr>
        <w:t>附件三：乙方关联企业名单</w:t>
      </w:r>
    </w:p>
    <w:p>
      <w:pPr>
        <w:spacing w:line="400" w:lineRule="exact"/>
        <w:jc w:val="left"/>
        <w:rPr>
          <w:rFonts w:ascii="宋体" w:hAnsi="宋体" w:cs="宋体"/>
        </w:rPr>
      </w:pPr>
    </w:p>
    <w:p>
      <w:pPr>
        <w:spacing w:line="400" w:lineRule="exact"/>
        <w:jc w:val="left"/>
        <w:rPr>
          <w:rFonts w:ascii="宋体" w:hAnsi="宋体" w:cs="宋体"/>
        </w:rPr>
      </w:pPr>
      <w:r>
        <w:rPr>
          <w:rFonts w:hint="eastAsia" w:ascii="宋体" w:hAnsi="宋体" w:cs="宋体"/>
        </w:rPr>
        <w:t>甲方代表签字（公司盖章）</w:t>
      </w:r>
      <w:r>
        <w:rPr>
          <w:rFonts w:hint="eastAsia" w:ascii="宋体" w:hAnsi="宋体" w:cs="宋体"/>
        </w:rPr>
        <w:tab/>
      </w:r>
      <w:r>
        <w:rPr>
          <w:rFonts w:hint="eastAsia" w:ascii="宋体" w:hAnsi="宋体" w:cs="宋体"/>
        </w:rPr>
        <w:tab/>
      </w:r>
      <w:r>
        <w:rPr>
          <w:rFonts w:hint="eastAsia" w:ascii="宋体" w:hAnsi="宋体" w:cs="宋体"/>
        </w:rPr>
        <w:t xml:space="preserve">             乙方代表签字（公司盖章）</w:t>
      </w:r>
    </w:p>
    <w:p>
      <w:pPr>
        <w:spacing w:line="400" w:lineRule="exact"/>
        <w:rPr>
          <w:rFonts w:ascii="宋体" w:hAnsi="宋体" w:cs="宋体"/>
        </w:rPr>
      </w:pPr>
    </w:p>
    <w:p>
      <w:pPr>
        <w:spacing w:line="400" w:lineRule="exact"/>
        <w:rPr>
          <w:rFonts w:ascii="宋体" w:hAnsi="宋体" w:cs="宋体"/>
        </w:rPr>
      </w:pPr>
      <w:r>
        <w:rPr>
          <w:rFonts w:hint="eastAsia" w:ascii="宋体" w:hAnsi="宋体" w:cs="宋体"/>
        </w:rPr>
        <w:t xml:space="preserve">电  话：                                      电  话：              </w:t>
      </w:r>
    </w:p>
    <w:p>
      <w:pPr>
        <w:spacing w:line="400" w:lineRule="exact"/>
        <w:ind w:firstLine="420" w:firstLineChars="200"/>
        <w:rPr>
          <w:rFonts w:ascii="宋体" w:hAnsi="宋体" w:cs="宋体"/>
        </w:rPr>
      </w:pPr>
    </w:p>
    <w:p>
      <w:pPr>
        <w:spacing w:line="400" w:lineRule="exact"/>
        <w:ind w:firstLine="420" w:firstLineChars="200"/>
        <w:rPr>
          <w:rFonts w:ascii="宋体" w:hAnsi="宋体" w:cs="宋体"/>
        </w:rPr>
      </w:pPr>
      <w:r>
        <w:rPr>
          <w:rFonts w:hint="eastAsia" w:ascii="宋体" w:hAnsi="宋体" w:cs="宋体"/>
        </w:rPr>
        <w:t xml:space="preserve">年      月      日                             </w:t>
      </w:r>
      <w:r>
        <w:rPr>
          <w:rFonts w:hint="eastAsia" w:ascii="宋体" w:hAnsi="宋体" w:cs="宋体"/>
          <w:szCs w:val="21"/>
        </w:rPr>
        <w:t>年      月      日</w:t>
      </w:r>
    </w:p>
    <w:p>
      <w:pPr>
        <w:pStyle w:val="2"/>
        <w:spacing w:line="400" w:lineRule="exact"/>
        <w:ind w:left="0"/>
        <w:rPr>
          <w:rFonts w:ascii="宋体" w:hAnsi="宋体" w:eastAsia="宋体" w:cs="宋体"/>
          <w:sz w:val="28"/>
          <w:szCs w:val="32"/>
        </w:rPr>
      </w:pPr>
    </w:p>
    <w:p>
      <w:pPr>
        <w:pStyle w:val="2"/>
        <w:spacing w:line="400" w:lineRule="exact"/>
        <w:ind w:left="0" w:leftChars="0" w:firstLine="0" w:firstLineChars="0"/>
        <w:rPr>
          <w:rFonts w:ascii="宋体" w:hAnsi="宋体" w:eastAsia="宋体" w:cs="宋体"/>
          <w:color w:val="auto"/>
          <w:szCs w:val="21"/>
        </w:rPr>
      </w:pPr>
      <w:r>
        <w:rPr>
          <w:rFonts w:hint="eastAsia" w:ascii="宋体" w:hAnsi="宋体" w:eastAsia="宋体" w:cs="宋体"/>
          <w:color w:val="auto"/>
          <w:szCs w:val="21"/>
        </w:rPr>
        <w:t>附件三：乙方关联企业名单</w:t>
      </w:r>
    </w:p>
    <w:p>
      <w:pPr>
        <w:pStyle w:val="2"/>
        <w:spacing w:line="400" w:lineRule="exact"/>
        <w:ind w:left="0" w:firstLine="420" w:firstLineChars="200"/>
        <w:rPr>
          <w:rFonts w:ascii="宋体" w:hAnsi="宋体" w:eastAsia="宋体" w:cs="宋体"/>
          <w:szCs w:val="21"/>
        </w:rPr>
      </w:pPr>
      <w:r>
        <w:rPr>
          <w:rFonts w:hint="eastAsia" w:ascii="宋体" w:hAnsi="宋体" w:eastAsia="宋体" w:cs="宋体"/>
          <w:szCs w:val="21"/>
        </w:rPr>
        <w:t xml:space="preserve">   </w:t>
      </w:r>
    </w:p>
    <w:tbl>
      <w:tblPr>
        <w:tblStyle w:val="10"/>
        <w:tblW w:w="10000" w:type="dxa"/>
        <w:tblInd w:w="93" w:type="dxa"/>
        <w:tblLayout w:type="fixed"/>
        <w:tblCellMar>
          <w:top w:w="0" w:type="dxa"/>
          <w:left w:w="108" w:type="dxa"/>
          <w:bottom w:w="0" w:type="dxa"/>
          <w:right w:w="108" w:type="dxa"/>
        </w:tblCellMar>
      </w:tblPr>
      <w:tblGrid>
        <w:gridCol w:w="5000"/>
        <w:gridCol w:w="5000"/>
      </w:tblGrid>
      <w:tr>
        <w:tblPrEx>
          <w:tblLayout w:type="fixed"/>
          <w:tblCellMar>
            <w:top w:w="0" w:type="dxa"/>
            <w:left w:w="108" w:type="dxa"/>
            <w:bottom w:w="0" w:type="dxa"/>
            <w:right w:w="108" w:type="dxa"/>
          </w:tblCellMar>
        </w:tblPrEx>
        <w:trPr>
          <w:trHeight w:val="285" w:hRule="atLeast"/>
        </w:trPr>
        <w:tc>
          <w:tcPr>
            <w:tcW w:w="50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北京易才人力资源顾问有限公司</w:t>
            </w:r>
          </w:p>
        </w:tc>
        <w:tc>
          <w:tcPr>
            <w:tcW w:w="5000"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南京易才人力资源有限公司</w:t>
            </w:r>
          </w:p>
        </w:tc>
      </w:tr>
      <w:tr>
        <w:tblPrEx>
          <w:tblLayout w:type="fixed"/>
          <w:tblCellMar>
            <w:top w:w="0" w:type="dxa"/>
            <w:left w:w="108" w:type="dxa"/>
            <w:bottom w:w="0" w:type="dxa"/>
            <w:right w:w="108" w:type="dxa"/>
          </w:tblCellMar>
        </w:tblPrEx>
        <w:trPr>
          <w:trHeight w:val="285" w:hRule="atLeast"/>
        </w:trPr>
        <w:tc>
          <w:tcPr>
            <w:tcW w:w="500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北京智唯易才人力咨询有限公司</w:t>
            </w:r>
          </w:p>
        </w:tc>
        <w:tc>
          <w:tcPr>
            <w:tcW w:w="50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南京易才人力资源有限公司第一分公司</w:t>
            </w:r>
          </w:p>
        </w:tc>
      </w:tr>
      <w:tr>
        <w:tblPrEx>
          <w:tblLayout w:type="fixed"/>
          <w:tblCellMar>
            <w:top w:w="0" w:type="dxa"/>
            <w:left w:w="108" w:type="dxa"/>
            <w:bottom w:w="0" w:type="dxa"/>
            <w:right w:w="108" w:type="dxa"/>
          </w:tblCellMar>
        </w:tblPrEx>
        <w:trPr>
          <w:trHeight w:val="285" w:hRule="atLeast"/>
        </w:trPr>
        <w:tc>
          <w:tcPr>
            <w:tcW w:w="500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北京易才人力资源顾问有限公司海淀分公司</w:t>
            </w:r>
          </w:p>
        </w:tc>
        <w:tc>
          <w:tcPr>
            <w:tcW w:w="50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南京易才人力资源有限公司高淳分公司</w:t>
            </w:r>
          </w:p>
        </w:tc>
      </w:tr>
      <w:tr>
        <w:tblPrEx>
          <w:tblLayout w:type="fixed"/>
          <w:tblCellMar>
            <w:top w:w="0" w:type="dxa"/>
            <w:left w:w="108" w:type="dxa"/>
            <w:bottom w:w="0" w:type="dxa"/>
            <w:right w:w="108" w:type="dxa"/>
          </w:tblCellMar>
        </w:tblPrEx>
        <w:trPr>
          <w:trHeight w:val="285" w:hRule="atLeast"/>
        </w:trPr>
        <w:tc>
          <w:tcPr>
            <w:tcW w:w="500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北京易才人力资源顾问有限公司西城分公司</w:t>
            </w:r>
          </w:p>
        </w:tc>
        <w:tc>
          <w:tcPr>
            <w:tcW w:w="50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南京易才人力资源有限公司连云港分公司</w:t>
            </w:r>
          </w:p>
        </w:tc>
      </w:tr>
      <w:tr>
        <w:tblPrEx>
          <w:tblLayout w:type="fixed"/>
          <w:tblCellMar>
            <w:top w:w="0" w:type="dxa"/>
            <w:left w:w="108" w:type="dxa"/>
            <w:bottom w:w="0" w:type="dxa"/>
            <w:right w:w="108" w:type="dxa"/>
          </w:tblCellMar>
        </w:tblPrEx>
        <w:trPr>
          <w:trHeight w:val="285" w:hRule="atLeast"/>
        </w:trPr>
        <w:tc>
          <w:tcPr>
            <w:tcW w:w="500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北京易才人力资源顾问有限公司朝阳分公司</w:t>
            </w:r>
          </w:p>
        </w:tc>
        <w:tc>
          <w:tcPr>
            <w:tcW w:w="50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南京易才人力资源有限公司镇江分公司</w:t>
            </w:r>
          </w:p>
        </w:tc>
      </w:tr>
      <w:tr>
        <w:tblPrEx>
          <w:tblLayout w:type="fixed"/>
          <w:tblCellMar>
            <w:top w:w="0" w:type="dxa"/>
            <w:left w:w="108" w:type="dxa"/>
            <w:bottom w:w="0" w:type="dxa"/>
            <w:right w:w="108" w:type="dxa"/>
          </w:tblCellMar>
        </w:tblPrEx>
        <w:trPr>
          <w:trHeight w:val="285" w:hRule="atLeast"/>
        </w:trPr>
        <w:tc>
          <w:tcPr>
            <w:tcW w:w="500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上海智联易才人力资源顾问有限公司</w:t>
            </w:r>
          </w:p>
        </w:tc>
        <w:tc>
          <w:tcPr>
            <w:tcW w:w="50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苏州易才人力资源顾问有限公司</w:t>
            </w:r>
          </w:p>
        </w:tc>
      </w:tr>
      <w:tr>
        <w:tblPrEx>
          <w:tblLayout w:type="fixed"/>
          <w:tblCellMar>
            <w:top w:w="0" w:type="dxa"/>
            <w:left w:w="108" w:type="dxa"/>
            <w:bottom w:w="0" w:type="dxa"/>
            <w:right w:w="108" w:type="dxa"/>
          </w:tblCellMar>
        </w:tblPrEx>
        <w:trPr>
          <w:trHeight w:val="285" w:hRule="atLeast"/>
        </w:trPr>
        <w:tc>
          <w:tcPr>
            <w:tcW w:w="500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上海智联易才人才咨询有限公司</w:t>
            </w:r>
          </w:p>
        </w:tc>
        <w:tc>
          <w:tcPr>
            <w:tcW w:w="50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苏州易才人力资源顾问有限公司园区分公司</w:t>
            </w:r>
          </w:p>
        </w:tc>
      </w:tr>
      <w:tr>
        <w:tblPrEx>
          <w:tblLayout w:type="fixed"/>
          <w:tblCellMar>
            <w:top w:w="0" w:type="dxa"/>
            <w:left w:w="108" w:type="dxa"/>
            <w:bottom w:w="0" w:type="dxa"/>
            <w:right w:w="108" w:type="dxa"/>
          </w:tblCellMar>
        </w:tblPrEx>
        <w:trPr>
          <w:trHeight w:val="285" w:hRule="atLeast"/>
        </w:trPr>
        <w:tc>
          <w:tcPr>
            <w:tcW w:w="500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上海易宏人力资源服务有限公司</w:t>
            </w:r>
          </w:p>
        </w:tc>
        <w:tc>
          <w:tcPr>
            <w:tcW w:w="50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苏州易才人力资源顾问有限公司张家港分公司</w:t>
            </w:r>
          </w:p>
        </w:tc>
      </w:tr>
      <w:tr>
        <w:tblPrEx>
          <w:tblLayout w:type="fixed"/>
          <w:tblCellMar>
            <w:top w:w="0" w:type="dxa"/>
            <w:left w:w="108" w:type="dxa"/>
            <w:bottom w:w="0" w:type="dxa"/>
            <w:right w:w="108" w:type="dxa"/>
          </w:tblCellMar>
        </w:tblPrEx>
        <w:trPr>
          <w:trHeight w:val="285" w:hRule="atLeast"/>
        </w:trPr>
        <w:tc>
          <w:tcPr>
            <w:tcW w:w="500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天津智唯易才人力资源顾问有限公司</w:t>
            </w:r>
          </w:p>
        </w:tc>
        <w:tc>
          <w:tcPr>
            <w:tcW w:w="50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苏州易才人力资源顾问有限公司吴江分公司</w:t>
            </w:r>
          </w:p>
        </w:tc>
      </w:tr>
      <w:tr>
        <w:tblPrEx>
          <w:tblLayout w:type="fixed"/>
          <w:tblCellMar>
            <w:top w:w="0" w:type="dxa"/>
            <w:left w:w="108" w:type="dxa"/>
            <w:bottom w:w="0" w:type="dxa"/>
            <w:right w:w="108" w:type="dxa"/>
          </w:tblCellMar>
        </w:tblPrEx>
        <w:trPr>
          <w:trHeight w:val="285" w:hRule="atLeast"/>
        </w:trPr>
        <w:tc>
          <w:tcPr>
            <w:tcW w:w="500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河北智联易才人力资源顾问有限公司</w:t>
            </w:r>
          </w:p>
        </w:tc>
        <w:tc>
          <w:tcPr>
            <w:tcW w:w="50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南通易才人力资源有限公司</w:t>
            </w:r>
          </w:p>
        </w:tc>
      </w:tr>
      <w:tr>
        <w:tblPrEx>
          <w:tblLayout w:type="fixed"/>
          <w:tblCellMar>
            <w:top w:w="0" w:type="dxa"/>
            <w:left w:w="108" w:type="dxa"/>
            <w:bottom w:w="0" w:type="dxa"/>
            <w:right w:w="108" w:type="dxa"/>
          </w:tblCellMar>
        </w:tblPrEx>
        <w:trPr>
          <w:trHeight w:val="285" w:hRule="atLeast"/>
        </w:trPr>
        <w:tc>
          <w:tcPr>
            <w:tcW w:w="500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河北智联易才人力资源顾问有限公司唐山分公司</w:t>
            </w:r>
          </w:p>
        </w:tc>
        <w:tc>
          <w:tcPr>
            <w:tcW w:w="50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扬州易才人力资源顾问有限公司</w:t>
            </w:r>
          </w:p>
        </w:tc>
      </w:tr>
      <w:tr>
        <w:tblPrEx>
          <w:tblLayout w:type="fixed"/>
          <w:tblCellMar>
            <w:top w:w="0" w:type="dxa"/>
            <w:left w:w="108" w:type="dxa"/>
            <w:bottom w:w="0" w:type="dxa"/>
            <w:right w:w="108" w:type="dxa"/>
          </w:tblCellMar>
        </w:tblPrEx>
        <w:trPr>
          <w:trHeight w:val="285" w:hRule="atLeast"/>
        </w:trPr>
        <w:tc>
          <w:tcPr>
            <w:tcW w:w="50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河北智联易才人力资源顾问有限公司保定分公司</w:t>
            </w:r>
          </w:p>
        </w:tc>
        <w:tc>
          <w:tcPr>
            <w:tcW w:w="50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无锡易才人力资源顾问有限公司</w:t>
            </w:r>
          </w:p>
        </w:tc>
      </w:tr>
      <w:tr>
        <w:tblPrEx>
          <w:tblLayout w:type="fixed"/>
          <w:tblCellMar>
            <w:top w:w="0" w:type="dxa"/>
            <w:left w:w="108" w:type="dxa"/>
            <w:bottom w:w="0" w:type="dxa"/>
            <w:right w:w="108" w:type="dxa"/>
          </w:tblCellMar>
        </w:tblPrEx>
        <w:trPr>
          <w:trHeight w:val="285" w:hRule="atLeast"/>
        </w:trPr>
        <w:tc>
          <w:tcPr>
            <w:tcW w:w="500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河北智联易才人力资源顾问有限公司邯郸分公司</w:t>
            </w:r>
          </w:p>
        </w:tc>
        <w:tc>
          <w:tcPr>
            <w:tcW w:w="50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无锡易才人力资源顾问有限公司宜兴分公司</w:t>
            </w:r>
          </w:p>
        </w:tc>
      </w:tr>
      <w:tr>
        <w:tblPrEx>
          <w:tblLayout w:type="fixed"/>
          <w:tblCellMar>
            <w:top w:w="0" w:type="dxa"/>
            <w:left w:w="108" w:type="dxa"/>
            <w:bottom w:w="0" w:type="dxa"/>
            <w:right w:w="108" w:type="dxa"/>
          </w:tblCellMar>
        </w:tblPrEx>
        <w:trPr>
          <w:trHeight w:val="285" w:hRule="atLeast"/>
        </w:trPr>
        <w:tc>
          <w:tcPr>
            <w:tcW w:w="500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济南易才人力资源顾问有限公司</w:t>
            </w:r>
          </w:p>
        </w:tc>
        <w:tc>
          <w:tcPr>
            <w:tcW w:w="50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无锡易才人力资源顾问有限公司江阴分公司</w:t>
            </w:r>
          </w:p>
        </w:tc>
      </w:tr>
      <w:tr>
        <w:tblPrEx>
          <w:tblLayout w:type="fixed"/>
          <w:tblCellMar>
            <w:top w:w="0" w:type="dxa"/>
            <w:left w:w="108" w:type="dxa"/>
            <w:bottom w:w="0" w:type="dxa"/>
            <w:right w:w="108" w:type="dxa"/>
          </w:tblCellMar>
        </w:tblPrEx>
        <w:trPr>
          <w:trHeight w:val="285" w:hRule="atLeast"/>
        </w:trPr>
        <w:tc>
          <w:tcPr>
            <w:tcW w:w="500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济南易才人力资源顾问有限公司第一分公司</w:t>
            </w:r>
          </w:p>
        </w:tc>
        <w:tc>
          <w:tcPr>
            <w:tcW w:w="50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常州智易人力资源服务有限公司</w:t>
            </w:r>
          </w:p>
        </w:tc>
      </w:tr>
      <w:tr>
        <w:tblPrEx>
          <w:tblLayout w:type="fixed"/>
          <w:tblCellMar>
            <w:top w:w="0" w:type="dxa"/>
            <w:left w:w="108" w:type="dxa"/>
            <w:bottom w:w="0" w:type="dxa"/>
            <w:right w:w="108" w:type="dxa"/>
          </w:tblCellMar>
        </w:tblPrEx>
        <w:trPr>
          <w:trHeight w:val="285" w:hRule="atLeast"/>
        </w:trPr>
        <w:tc>
          <w:tcPr>
            <w:tcW w:w="500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济南易才人力资源顾问有限公司第二分公司</w:t>
            </w:r>
          </w:p>
        </w:tc>
        <w:tc>
          <w:tcPr>
            <w:tcW w:w="50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泰州易才人力资源顾问有限公司</w:t>
            </w:r>
          </w:p>
        </w:tc>
      </w:tr>
      <w:tr>
        <w:tblPrEx>
          <w:tblLayout w:type="fixed"/>
          <w:tblCellMar>
            <w:top w:w="0" w:type="dxa"/>
            <w:left w:w="108" w:type="dxa"/>
            <w:bottom w:w="0" w:type="dxa"/>
            <w:right w:w="108" w:type="dxa"/>
          </w:tblCellMar>
        </w:tblPrEx>
        <w:trPr>
          <w:trHeight w:val="285" w:hRule="atLeast"/>
        </w:trPr>
        <w:tc>
          <w:tcPr>
            <w:tcW w:w="500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济南易才人力资源顾问有限公司第三分公司</w:t>
            </w:r>
          </w:p>
        </w:tc>
        <w:tc>
          <w:tcPr>
            <w:tcW w:w="50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淮安易才人力资源顾问有限公司</w:t>
            </w:r>
          </w:p>
        </w:tc>
      </w:tr>
      <w:tr>
        <w:tblPrEx>
          <w:tblLayout w:type="fixed"/>
          <w:tblCellMar>
            <w:top w:w="0" w:type="dxa"/>
            <w:left w:w="108" w:type="dxa"/>
            <w:bottom w:w="0" w:type="dxa"/>
            <w:right w:w="108" w:type="dxa"/>
          </w:tblCellMar>
        </w:tblPrEx>
        <w:trPr>
          <w:trHeight w:val="285" w:hRule="atLeast"/>
        </w:trPr>
        <w:tc>
          <w:tcPr>
            <w:tcW w:w="500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济南易才人力资源顾问有限公司威海分公司</w:t>
            </w:r>
          </w:p>
        </w:tc>
        <w:tc>
          <w:tcPr>
            <w:tcW w:w="50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上海智联易才人力资源顾问有限公司徐州分公司</w:t>
            </w:r>
          </w:p>
        </w:tc>
      </w:tr>
      <w:tr>
        <w:tblPrEx>
          <w:tblLayout w:type="fixed"/>
          <w:tblCellMar>
            <w:top w:w="0" w:type="dxa"/>
            <w:left w:w="108" w:type="dxa"/>
            <w:bottom w:w="0" w:type="dxa"/>
            <w:right w:w="108" w:type="dxa"/>
          </w:tblCellMar>
        </w:tblPrEx>
        <w:trPr>
          <w:trHeight w:val="285" w:hRule="atLeast"/>
        </w:trPr>
        <w:tc>
          <w:tcPr>
            <w:tcW w:w="500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济南易才人力资源顾问有限公司滨州分公司</w:t>
            </w:r>
          </w:p>
        </w:tc>
        <w:tc>
          <w:tcPr>
            <w:tcW w:w="5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杭州易才人力资源管理有限公司</w:t>
            </w:r>
          </w:p>
        </w:tc>
      </w:tr>
      <w:tr>
        <w:tblPrEx>
          <w:tblLayout w:type="fixed"/>
          <w:tblCellMar>
            <w:top w:w="0" w:type="dxa"/>
            <w:left w:w="108" w:type="dxa"/>
            <w:bottom w:w="0" w:type="dxa"/>
            <w:right w:w="108" w:type="dxa"/>
          </w:tblCellMar>
        </w:tblPrEx>
        <w:trPr>
          <w:trHeight w:val="285" w:hRule="atLeast"/>
        </w:trPr>
        <w:tc>
          <w:tcPr>
            <w:tcW w:w="500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青岛易才人力资源顾问有限公司</w:t>
            </w:r>
          </w:p>
        </w:tc>
        <w:tc>
          <w:tcPr>
            <w:tcW w:w="5000"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杭州易鼎人力资源管理有限公司</w:t>
            </w:r>
          </w:p>
        </w:tc>
      </w:tr>
      <w:tr>
        <w:tblPrEx>
          <w:tblLayout w:type="fixed"/>
          <w:tblCellMar>
            <w:top w:w="0" w:type="dxa"/>
            <w:left w:w="108" w:type="dxa"/>
            <w:bottom w:w="0" w:type="dxa"/>
            <w:right w:w="108" w:type="dxa"/>
          </w:tblCellMar>
        </w:tblPrEx>
        <w:trPr>
          <w:trHeight w:val="285" w:hRule="atLeast"/>
        </w:trPr>
        <w:tc>
          <w:tcPr>
            <w:tcW w:w="500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河南易才人力资源咨询有限公司</w:t>
            </w:r>
          </w:p>
        </w:tc>
        <w:tc>
          <w:tcPr>
            <w:tcW w:w="5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杭州易才人力资源管理有限公司台州分公司</w:t>
            </w:r>
          </w:p>
        </w:tc>
      </w:tr>
      <w:tr>
        <w:tblPrEx>
          <w:tblLayout w:type="fixed"/>
          <w:tblCellMar>
            <w:top w:w="0" w:type="dxa"/>
            <w:left w:w="108" w:type="dxa"/>
            <w:bottom w:w="0" w:type="dxa"/>
            <w:right w:w="108" w:type="dxa"/>
          </w:tblCellMar>
        </w:tblPrEx>
        <w:trPr>
          <w:trHeight w:val="285" w:hRule="atLeast"/>
        </w:trPr>
        <w:tc>
          <w:tcPr>
            <w:tcW w:w="500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河南易才人力资源咨询有限公司洛阳分公司</w:t>
            </w:r>
          </w:p>
        </w:tc>
        <w:tc>
          <w:tcPr>
            <w:tcW w:w="5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杭州易才人力资源管理有限公司临安分公司</w:t>
            </w:r>
          </w:p>
        </w:tc>
      </w:tr>
      <w:tr>
        <w:tblPrEx>
          <w:tblLayout w:type="fixed"/>
          <w:tblCellMar>
            <w:top w:w="0" w:type="dxa"/>
            <w:left w:w="108" w:type="dxa"/>
            <w:bottom w:w="0" w:type="dxa"/>
            <w:right w:w="108" w:type="dxa"/>
          </w:tblCellMar>
        </w:tblPrEx>
        <w:trPr>
          <w:trHeight w:val="285" w:hRule="atLeast"/>
        </w:trPr>
        <w:tc>
          <w:tcPr>
            <w:tcW w:w="500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河南易才人力资源咨询有限公司新乡分公司</w:t>
            </w:r>
          </w:p>
        </w:tc>
        <w:tc>
          <w:tcPr>
            <w:tcW w:w="5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宁波易才人力资源咨询有限公司</w:t>
            </w:r>
          </w:p>
        </w:tc>
      </w:tr>
      <w:tr>
        <w:tblPrEx>
          <w:tblLayout w:type="fixed"/>
          <w:tblCellMar>
            <w:top w:w="0" w:type="dxa"/>
            <w:left w:w="108" w:type="dxa"/>
            <w:bottom w:w="0" w:type="dxa"/>
            <w:right w:w="108" w:type="dxa"/>
          </w:tblCellMar>
        </w:tblPrEx>
        <w:trPr>
          <w:trHeight w:val="285" w:hRule="atLeast"/>
        </w:trPr>
        <w:tc>
          <w:tcPr>
            <w:tcW w:w="50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北京易才人力资源顾问有限公司太原分公司</w:t>
            </w:r>
          </w:p>
        </w:tc>
        <w:tc>
          <w:tcPr>
            <w:tcW w:w="5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南京易才人力资源有限公司温州分公司</w:t>
            </w:r>
          </w:p>
        </w:tc>
      </w:tr>
      <w:tr>
        <w:tblPrEx>
          <w:tblLayout w:type="fixed"/>
          <w:tblCellMar>
            <w:top w:w="0" w:type="dxa"/>
            <w:left w:w="108" w:type="dxa"/>
            <w:bottom w:w="0" w:type="dxa"/>
            <w:right w:w="108" w:type="dxa"/>
          </w:tblCellMar>
        </w:tblPrEx>
        <w:trPr>
          <w:trHeight w:val="285" w:hRule="atLeast"/>
        </w:trPr>
        <w:tc>
          <w:tcPr>
            <w:tcW w:w="500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呼和浩特市易才人力资源有限责任公司</w:t>
            </w:r>
          </w:p>
        </w:tc>
        <w:tc>
          <w:tcPr>
            <w:tcW w:w="50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南京易才人力资源有限公司绍兴分公司</w:t>
            </w:r>
          </w:p>
        </w:tc>
      </w:tr>
      <w:tr>
        <w:tblPrEx>
          <w:tblLayout w:type="fixed"/>
          <w:tblCellMar>
            <w:top w:w="0" w:type="dxa"/>
            <w:left w:w="108" w:type="dxa"/>
            <w:bottom w:w="0" w:type="dxa"/>
            <w:right w:w="108" w:type="dxa"/>
          </w:tblCellMar>
        </w:tblPrEx>
        <w:trPr>
          <w:trHeight w:val="285" w:hRule="atLeast"/>
        </w:trPr>
        <w:tc>
          <w:tcPr>
            <w:tcW w:w="500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沈阳易才人力资源顾问有限公司</w:t>
            </w:r>
          </w:p>
        </w:tc>
        <w:tc>
          <w:tcPr>
            <w:tcW w:w="50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安徽智易人力资源顾问有限公司</w:t>
            </w:r>
          </w:p>
        </w:tc>
      </w:tr>
      <w:tr>
        <w:tblPrEx>
          <w:tblLayout w:type="fixed"/>
          <w:tblCellMar>
            <w:top w:w="0" w:type="dxa"/>
            <w:left w:w="108" w:type="dxa"/>
            <w:bottom w:w="0" w:type="dxa"/>
            <w:right w:w="108" w:type="dxa"/>
          </w:tblCellMar>
        </w:tblPrEx>
        <w:trPr>
          <w:trHeight w:val="285" w:hRule="atLeast"/>
        </w:trPr>
        <w:tc>
          <w:tcPr>
            <w:tcW w:w="500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大连易才人力资源顾问有限公司</w:t>
            </w:r>
          </w:p>
        </w:tc>
        <w:tc>
          <w:tcPr>
            <w:tcW w:w="50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安徽智易人力资源顾问有限公司滁州分公司</w:t>
            </w:r>
          </w:p>
        </w:tc>
      </w:tr>
      <w:tr>
        <w:tblPrEx>
          <w:tblLayout w:type="fixed"/>
          <w:tblCellMar>
            <w:top w:w="0" w:type="dxa"/>
            <w:left w:w="108" w:type="dxa"/>
            <w:bottom w:w="0" w:type="dxa"/>
            <w:right w:w="108" w:type="dxa"/>
          </w:tblCellMar>
        </w:tblPrEx>
        <w:trPr>
          <w:trHeight w:val="285" w:hRule="atLeast"/>
        </w:trPr>
        <w:tc>
          <w:tcPr>
            <w:tcW w:w="500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北京易才人力资源顾问有限公司长春分公司</w:t>
            </w:r>
          </w:p>
        </w:tc>
        <w:tc>
          <w:tcPr>
            <w:tcW w:w="50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安徽智易人力资源顾问有限公司马鞍山分公司</w:t>
            </w:r>
          </w:p>
        </w:tc>
      </w:tr>
      <w:tr>
        <w:tblPrEx>
          <w:tblLayout w:type="fixed"/>
          <w:tblCellMar>
            <w:top w:w="0" w:type="dxa"/>
            <w:left w:w="108" w:type="dxa"/>
            <w:bottom w:w="0" w:type="dxa"/>
            <w:right w:w="108" w:type="dxa"/>
          </w:tblCellMar>
        </w:tblPrEx>
        <w:trPr>
          <w:trHeight w:val="285" w:hRule="atLeast"/>
        </w:trPr>
        <w:tc>
          <w:tcPr>
            <w:tcW w:w="500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北京易才人力资源顾问有限公司吉林市分公司</w:t>
            </w:r>
          </w:p>
        </w:tc>
        <w:tc>
          <w:tcPr>
            <w:tcW w:w="50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安徽智易人力资源顾问有限公司蚌埠分公司</w:t>
            </w:r>
          </w:p>
        </w:tc>
      </w:tr>
      <w:tr>
        <w:tblPrEx>
          <w:tblLayout w:type="fixed"/>
          <w:tblCellMar>
            <w:top w:w="0" w:type="dxa"/>
            <w:left w:w="108" w:type="dxa"/>
            <w:bottom w:w="0" w:type="dxa"/>
            <w:right w:w="108" w:type="dxa"/>
          </w:tblCellMar>
        </w:tblPrEx>
        <w:trPr>
          <w:trHeight w:val="285" w:hRule="atLeast"/>
        </w:trPr>
        <w:tc>
          <w:tcPr>
            <w:tcW w:w="500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北京易才人力资源顾问有限公司通化分公司</w:t>
            </w:r>
          </w:p>
        </w:tc>
        <w:tc>
          <w:tcPr>
            <w:tcW w:w="50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安徽智易人力资源顾问有限公司安庆分公司</w:t>
            </w:r>
          </w:p>
        </w:tc>
      </w:tr>
      <w:tr>
        <w:tblPrEx>
          <w:tblLayout w:type="fixed"/>
          <w:tblCellMar>
            <w:top w:w="0" w:type="dxa"/>
            <w:left w:w="108" w:type="dxa"/>
            <w:bottom w:w="0" w:type="dxa"/>
            <w:right w:w="108" w:type="dxa"/>
          </w:tblCellMar>
        </w:tblPrEx>
        <w:trPr>
          <w:trHeight w:val="285" w:hRule="atLeast"/>
        </w:trPr>
        <w:tc>
          <w:tcPr>
            <w:tcW w:w="500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黑龙江省易才人力资源咨询有限公司</w:t>
            </w:r>
          </w:p>
        </w:tc>
        <w:tc>
          <w:tcPr>
            <w:tcW w:w="50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广州智唯易才企业管理顾问有限公司</w:t>
            </w:r>
          </w:p>
        </w:tc>
      </w:tr>
      <w:tr>
        <w:tblPrEx>
          <w:tblLayout w:type="fixed"/>
          <w:tblCellMar>
            <w:top w:w="0" w:type="dxa"/>
            <w:left w:w="108" w:type="dxa"/>
            <w:bottom w:w="0" w:type="dxa"/>
            <w:right w:w="108" w:type="dxa"/>
          </w:tblCellMar>
        </w:tblPrEx>
        <w:trPr>
          <w:trHeight w:val="285" w:hRule="atLeast"/>
        </w:trPr>
        <w:tc>
          <w:tcPr>
            <w:tcW w:w="50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西安易才人力资源顾问有限公司</w:t>
            </w:r>
          </w:p>
        </w:tc>
        <w:tc>
          <w:tcPr>
            <w:tcW w:w="50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深圳易才人力资源顾问有限公司</w:t>
            </w:r>
          </w:p>
        </w:tc>
      </w:tr>
      <w:tr>
        <w:tblPrEx>
          <w:tblLayout w:type="fixed"/>
          <w:tblCellMar>
            <w:top w:w="0" w:type="dxa"/>
            <w:left w:w="108" w:type="dxa"/>
            <w:bottom w:w="0" w:type="dxa"/>
            <w:right w:w="108" w:type="dxa"/>
          </w:tblCellMar>
        </w:tblPrEx>
        <w:trPr>
          <w:trHeight w:val="285" w:hRule="atLeast"/>
        </w:trPr>
        <w:tc>
          <w:tcPr>
            <w:tcW w:w="50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西安易才人力资源顾问有限公司高新分公司</w:t>
            </w:r>
          </w:p>
        </w:tc>
        <w:tc>
          <w:tcPr>
            <w:tcW w:w="50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深圳易薪人力资源顾问有限公司</w:t>
            </w:r>
          </w:p>
        </w:tc>
      </w:tr>
      <w:tr>
        <w:tblPrEx>
          <w:tblLayout w:type="fixed"/>
          <w:tblCellMar>
            <w:top w:w="0" w:type="dxa"/>
            <w:left w:w="108" w:type="dxa"/>
            <w:bottom w:w="0" w:type="dxa"/>
            <w:right w:w="108" w:type="dxa"/>
          </w:tblCellMar>
        </w:tblPrEx>
        <w:trPr>
          <w:trHeight w:val="285" w:hRule="atLeast"/>
        </w:trPr>
        <w:tc>
          <w:tcPr>
            <w:tcW w:w="50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西安易才人力资源顾问有限公司碑林分公司</w:t>
            </w:r>
          </w:p>
        </w:tc>
        <w:tc>
          <w:tcPr>
            <w:tcW w:w="5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深圳易才人力资源顾问有限公司南山分公司</w:t>
            </w:r>
          </w:p>
        </w:tc>
      </w:tr>
      <w:tr>
        <w:tblPrEx>
          <w:tblLayout w:type="fixed"/>
          <w:tblCellMar>
            <w:top w:w="0" w:type="dxa"/>
            <w:left w:w="108" w:type="dxa"/>
            <w:bottom w:w="0" w:type="dxa"/>
            <w:right w:w="108" w:type="dxa"/>
          </w:tblCellMar>
        </w:tblPrEx>
        <w:trPr>
          <w:trHeight w:val="285" w:hRule="atLeast"/>
        </w:trPr>
        <w:tc>
          <w:tcPr>
            <w:tcW w:w="50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西安易才人力资源顾问有限公司西咸新区分公司</w:t>
            </w:r>
          </w:p>
        </w:tc>
        <w:tc>
          <w:tcPr>
            <w:tcW w:w="50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深圳易才人力资源顾问有限公司龙岗分公司</w:t>
            </w:r>
          </w:p>
        </w:tc>
      </w:tr>
      <w:tr>
        <w:tblPrEx>
          <w:tblLayout w:type="fixed"/>
          <w:tblCellMar>
            <w:top w:w="0" w:type="dxa"/>
            <w:left w:w="108" w:type="dxa"/>
            <w:bottom w:w="0" w:type="dxa"/>
            <w:right w:w="108" w:type="dxa"/>
          </w:tblCellMar>
        </w:tblPrEx>
        <w:trPr>
          <w:trHeight w:val="285" w:hRule="atLeast"/>
        </w:trPr>
        <w:tc>
          <w:tcPr>
            <w:tcW w:w="50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西安易才人力资源顾问有限公司榆林分公司</w:t>
            </w:r>
          </w:p>
        </w:tc>
        <w:tc>
          <w:tcPr>
            <w:tcW w:w="50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2"/>
                <w:szCs w:val="22"/>
              </w:rPr>
            </w:pPr>
            <w:r>
              <w:rPr>
                <w:rFonts w:hint="eastAsia" w:ascii="宋体" w:hAnsi="宋体" w:cs="宋体"/>
                <w:kern w:val="0"/>
                <w:sz w:val="22"/>
                <w:szCs w:val="22"/>
              </w:rPr>
              <w:t>东莞市易才人力资源顾问有限公司</w:t>
            </w:r>
          </w:p>
        </w:tc>
      </w:tr>
      <w:tr>
        <w:tblPrEx>
          <w:tblLayout w:type="fixed"/>
          <w:tblCellMar>
            <w:top w:w="0" w:type="dxa"/>
            <w:left w:w="108" w:type="dxa"/>
            <w:bottom w:w="0" w:type="dxa"/>
            <w:right w:w="108" w:type="dxa"/>
          </w:tblCellMar>
        </w:tblPrEx>
        <w:trPr>
          <w:trHeight w:val="285" w:hRule="atLeast"/>
        </w:trPr>
        <w:tc>
          <w:tcPr>
            <w:tcW w:w="50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西安易才人力资源顾问有限公司宝鸡分公司</w:t>
            </w:r>
          </w:p>
        </w:tc>
        <w:tc>
          <w:tcPr>
            <w:tcW w:w="50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2"/>
                <w:szCs w:val="22"/>
              </w:rPr>
            </w:pPr>
            <w:r>
              <w:rPr>
                <w:rFonts w:hint="eastAsia" w:ascii="宋体" w:hAnsi="宋体" w:cs="宋体"/>
                <w:kern w:val="0"/>
                <w:sz w:val="22"/>
                <w:szCs w:val="22"/>
              </w:rPr>
              <w:t>东莞市易才人力资源顾问有限公司松山湖分公司</w:t>
            </w:r>
          </w:p>
        </w:tc>
      </w:tr>
      <w:tr>
        <w:tblPrEx>
          <w:tblLayout w:type="fixed"/>
          <w:tblCellMar>
            <w:top w:w="0" w:type="dxa"/>
            <w:left w:w="108" w:type="dxa"/>
            <w:bottom w:w="0" w:type="dxa"/>
            <w:right w:w="108" w:type="dxa"/>
          </w:tblCellMar>
        </w:tblPrEx>
        <w:trPr>
          <w:trHeight w:val="285" w:hRule="atLeast"/>
        </w:trPr>
        <w:tc>
          <w:tcPr>
            <w:tcW w:w="50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西藏易才人力资源顾问有限公司</w:t>
            </w:r>
          </w:p>
        </w:tc>
        <w:tc>
          <w:tcPr>
            <w:tcW w:w="5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广州智唯易才企业管理顾问有限公司佛山分公司</w:t>
            </w:r>
          </w:p>
        </w:tc>
      </w:tr>
      <w:tr>
        <w:tblPrEx>
          <w:tblLayout w:type="fixed"/>
          <w:tblCellMar>
            <w:top w:w="0" w:type="dxa"/>
            <w:left w:w="108" w:type="dxa"/>
            <w:bottom w:w="0" w:type="dxa"/>
            <w:right w:w="108" w:type="dxa"/>
          </w:tblCellMar>
        </w:tblPrEx>
        <w:trPr>
          <w:trHeight w:val="600" w:hRule="atLeast"/>
        </w:trPr>
        <w:tc>
          <w:tcPr>
            <w:tcW w:w="50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新疆智唯易才人力资源顾问有限公司</w:t>
            </w:r>
          </w:p>
        </w:tc>
        <w:tc>
          <w:tcPr>
            <w:tcW w:w="50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广州智唯易才企业管理顾问有限公司佛山南海分公司 </w:t>
            </w:r>
          </w:p>
        </w:tc>
      </w:tr>
      <w:tr>
        <w:tblPrEx>
          <w:tblLayout w:type="fixed"/>
          <w:tblCellMar>
            <w:top w:w="0" w:type="dxa"/>
            <w:left w:w="108" w:type="dxa"/>
            <w:bottom w:w="0" w:type="dxa"/>
            <w:right w:w="108" w:type="dxa"/>
          </w:tblCellMar>
        </w:tblPrEx>
        <w:trPr>
          <w:trHeight w:val="285" w:hRule="atLeast"/>
        </w:trPr>
        <w:tc>
          <w:tcPr>
            <w:tcW w:w="50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西安易才人力资源顾问有限公司兰州分公司</w:t>
            </w:r>
          </w:p>
        </w:tc>
        <w:tc>
          <w:tcPr>
            <w:tcW w:w="5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广州智唯易才企业管理顾问有限公司惠州分公司</w:t>
            </w:r>
          </w:p>
        </w:tc>
      </w:tr>
      <w:tr>
        <w:tblPrEx>
          <w:tblLayout w:type="fixed"/>
          <w:tblCellMar>
            <w:top w:w="0" w:type="dxa"/>
            <w:left w:w="108" w:type="dxa"/>
            <w:bottom w:w="0" w:type="dxa"/>
            <w:right w:w="108" w:type="dxa"/>
          </w:tblCellMar>
        </w:tblPrEx>
        <w:trPr>
          <w:trHeight w:val="285" w:hRule="atLeast"/>
        </w:trPr>
        <w:tc>
          <w:tcPr>
            <w:tcW w:w="50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青海易才人力资源顾问有限公司</w:t>
            </w:r>
          </w:p>
        </w:tc>
        <w:tc>
          <w:tcPr>
            <w:tcW w:w="50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广州智唯易才企业管理顾问有限公司汕尾分公司</w:t>
            </w:r>
          </w:p>
        </w:tc>
      </w:tr>
      <w:tr>
        <w:tblPrEx>
          <w:tblLayout w:type="fixed"/>
          <w:tblCellMar>
            <w:top w:w="0" w:type="dxa"/>
            <w:left w:w="108" w:type="dxa"/>
            <w:bottom w:w="0" w:type="dxa"/>
            <w:right w:w="108" w:type="dxa"/>
          </w:tblCellMar>
        </w:tblPrEx>
        <w:trPr>
          <w:trHeight w:val="285" w:hRule="atLeast"/>
        </w:trPr>
        <w:tc>
          <w:tcPr>
            <w:tcW w:w="50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西安易才人力资源顾问有限公司银川分公司</w:t>
            </w:r>
          </w:p>
        </w:tc>
        <w:tc>
          <w:tcPr>
            <w:tcW w:w="50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广州智唯易才企业管理顾问有限公司顺德分公司</w:t>
            </w:r>
          </w:p>
        </w:tc>
      </w:tr>
      <w:tr>
        <w:tblPrEx>
          <w:tblLayout w:type="fixed"/>
          <w:tblCellMar>
            <w:top w:w="0" w:type="dxa"/>
            <w:left w:w="108" w:type="dxa"/>
            <w:bottom w:w="0" w:type="dxa"/>
            <w:right w:w="108" w:type="dxa"/>
          </w:tblCellMar>
        </w:tblPrEx>
        <w:trPr>
          <w:trHeight w:val="285" w:hRule="atLeast"/>
        </w:trPr>
        <w:tc>
          <w:tcPr>
            <w:tcW w:w="50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成都智唯易才人力资源顾问有限公司</w:t>
            </w:r>
          </w:p>
        </w:tc>
        <w:tc>
          <w:tcPr>
            <w:tcW w:w="50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福州智唯易才人力资源顾问有限公司</w:t>
            </w:r>
          </w:p>
        </w:tc>
      </w:tr>
      <w:tr>
        <w:tblPrEx>
          <w:tblLayout w:type="fixed"/>
          <w:tblCellMar>
            <w:top w:w="0" w:type="dxa"/>
            <w:left w:w="108" w:type="dxa"/>
            <w:bottom w:w="0" w:type="dxa"/>
            <w:right w:w="108" w:type="dxa"/>
          </w:tblCellMar>
        </w:tblPrEx>
        <w:trPr>
          <w:trHeight w:val="285" w:hRule="atLeast"/>
        </w:trPr>
        <w:tc>
          <w:tcPr>
            <w:tcW w:w="50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成都智唯易才人力资源顾问有限公司高新分公司</w:t>
            </w:r>
          </w:p>
        </w:tc>
        <w:tc>
          <w:tcPr>
            <w:tcW w:w="50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厦门智唯易才人力资源顾问有限公司</w:t>
            </w:r>
          </w:p>
        </w:tc>
      </w:tr>
      <w:tr>
        <w:tblPrEx>
          <w:tblLayout w:type="fixed"/>
          <w:tblCellMar>
            <w:top w:w="0" w:type="dxa"/>
            <w:left w:w="108" w:type="dxa"/>
            <w:bottom w:w="0" w:type="dxa"/>
            <w:right w:w="108" w:type="dxa"/>
          </w:tblCellMar>
        </w:tblPrEx>
        <w:trPr>
          <w:trHeight w:val="600" w:hRule="atLeast"/>
        </w:trPr>
        <w:tc>
          <w:tcPr>
            <w:tcW w:w="50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成都智唯易才人力资源顾问有限公司天府新区分公司</w:t>
            </w:r>
          </w:p>
        </w:tc>
        <w:tc>
          <w:tcPr>
            <w:tcW w:w="5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广西易才人力资源顾问有限公司</w:t>
            </w:r>
          </w:p>
        </w:tc>
      </w:tr>
      <w:tr>
        <w:tblPrEx>
          <w:tblLayout w:type="fixed"/>
          <w:tblCellMar>
            <w:top w:w="0" w:type="dxa"/>
            <w:left w:w="108" w:type="dxa"/>
            <w:bottom w:w="0" w:type="dxa"/>
            <w:right w:w="108" w:type="dxa"/>
          </w:tblCellMar>
        </w:tblPrEx>
        <w:trPr>
          <w:trHeight w:val="285" w:hRule="atLeast"/>
        </w:trPr>
        <w:tc>
          <w:tcPr>
            <w:tcW w:w="50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成都智唯易才人力资源顾问有限公司德阳分公司</w:t>
            </w:r>
          </w:p>
        </w:tc>
        <w:tc>
          <w:tcPr>
            <w:tcW w:w="5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广西易才人力资源顾问有限公司桂林分公司</w:t>
            </w:r>
          </w:p>
        </w:tc>
      </w:tr>
      <w:tr>
        <w:tblPrEx>
          <w:tblLayout w:type="fixed"/>
          <w:tblCellMar>
            <w:top w:w="0" w:type="dxa"/>
            <w:left w:w="108" w:type="dxa"/>
            <w:bottom w:w="0" w:type="dxa"/>
            <w:right w:w="108" w:type="dxa"/>
          </w:tblCellMar>
        </w:tblPrEx>
        <w:trPr>
          <w:trHeight w:val="285" w:hRule="atLeast"/>
        </w:trPr>
        <w:tc>
          <w:tcPr>
            <w:tcW w:w="50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贵州易才人力资源顾问有限公司</w:t>
            </w:r>
          </w:p>
        </w:tc>
        <w:tc>
          <w:tcPr>
            <w:tcW w:w="50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长沙易才人力资源顾问有限公司</w:t>
            </w:r>
          </w:p>
        </w:tc>
      </w:tr>
      <w:tr>
        <w:tblPrEx>
          <w:tblLayout w:type="fixed"/>
          <w:tblCellMar>
            <w:top w:w="0" w:type="dxa"/>
            <w:left w:w="108" w:type="dxa"/>
            <w:bottom w:w="0" w:type="dxa"/>
            <w:right w:w="108" w:type="dxa"/>
          </w:tblCellMar>
        </w:tblPrEx>
        <w:trPr>
          <w:trHeight w:val="285" w:hRule="atLeast"/>
        </w:trPr>
        <w:tc>
          <w:tcPr>
            <w:tcW w:w="50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贵州易才人力资源顾问有限公司遵义分公司</w:t>
            </w:r>
          </w:p>
        </w:tc>
        <w:tc>
          <w:tcPr>
            <w:tcW w:w="50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长沙易才人力资源顾问有限公司株洲分公司</w:t>
            </w:r>
          </w:p>
        </w:tc>
      </w:tr>
      <w:tr>
        <w:tblPrEx>
          <w:tblLayout w:type="fixed"/>
          <w:tblCellMar>
            <w:top w:w="0" w:type="dxa"/>
            <w:left w:w="108" w:type="dxa"/>
            <w:bottom w:w="0" w:type="dxa"/>
            <w:right w:w="108" w:type="dxa"/>
          </w:tblCellMar>
        </w:tblPrEx>
        <w:trPr>
          <w:trHeight w:val="285" w:hRule="atLeast"/>
        </w:trPr>
        <w:tc>
          <w:tcPr>
            <w:tcW w:w="50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重庆易才人力资源顾问有限公司</w:t>
            </w:r>
          </w:p>
        </w:tc>
        <w:tc>
          <w:tcPr>
            <w:tcW w:w="5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武汉智唯易才人力资源顾问有限公司</w:t>
            </w:r>
          </w:p>
        </w:tc>
      </w:tr>
      <w:tr>
        <w:tblPrEx>
          <w:tblLayout w:type="fixed"/>
          <w:tblCellMar>
            <w:top w:w="0" w:type="dxa"/>
            <w:left w:w="108" w:type="dxa"/>
            <w:bottom w:w="0" w:type="dxa"/>
            <w:right w:w="108" w:type="dxa"/>
          </w:tblCellMar>
        </w:tblPrEx>
        <w:trPr>
          <w:trHeight w:val="600" w:hRule="atLeast"/>
        </w:trPr>
        <w:tc>
          <w:tcPr>
            <w:tcW w:w="50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重庆易才人力资源顾问有限公司沙坪坝区分公司</w:t>
            </w:r>
          </w:p>
        </w:tc>
        <w:tc>
          <w:tcPr>
            <w:tcW w:w="50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2"/>
                <w:szCs w:val="22"/>
              </w:rPr>
            </w:pPr>
            <w:r>
              <w:rPr>
                <w:rFonts w:hint="eastAsia" w:ascii="宋体" w:hAnsi="宋体" w:cs="宋体"/>
                <w:kern w:val="0"/>
                <w:sz w:val="22"/>
                <w:szCs w:val="22"/>
              </w:rPr>
              <w:t>武汉智唯易才人力资源顾问有限公司光谷大道分公司</w:t>
            </w:r>
          </w:p>
        </w:tc>
      </w:tr>
      <w:tr>
        <w:tblPrEx>
          <w:tblLayout w:type="fixed"/>
          <w:tblCellMar>
            <w:top w:w="0" w:type="dxa"/>
            <w:left w:w="108" w:type="dxa"/>
            <w:bottom w:w="0" w:type="dxa"/>
            <w:right w:w="108" w:type="dxa"/>
          </w:tblCellMar>
        </w:tblPrEx>
        <w:trPr>
          <w:trHeight w:val="285" w:hRule="atLeast"/>
        </w:trPr>
        <w:tc>
          <w:tcPr>
            <w:tcW w:w="50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云南易才人力资源顾问有限公司</w:t>
            </w:r>
          </w:p>
        </w:tc>
        <w:tc>
          <w:tcPr>
            <w:tcW w:w="5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武汉智唯易才人力资源顾问有限公司襄阳分公司</w:t>
            </w:r>
          </w:p>
        </w:tc>
      </w:tr>
      <w:tr>
        <w:tblPrEx>
          <w:tblLayout w:type="fixed"/>
          <w:tblCellMar>
            <w:top w:w="0" w:type="dxa"/>
            <w:left w:w="108" w:type="dxa"/>
            <w:bottom w:w="0" w:type="dxa"/>
            <w:right w:w="108" w:type="dxa"/>
          </w:tblCellMar>
        </w:tblPrEx>
        <w:trPr>
          <w:trHeight w:val="285" w:hRule="atLeast"/>
        </w:trPr>
        <w:tc>
          <w:tcPr>
            <w:tcW w:w="500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海口易才人力资源咨询有限公司</w:t>
            </w:r>
          </w:p>
        </w:tc>
        <w:tc>
          <w:tcPr>
            <w:tcW w:w="50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武汉智唯易才人力资源顾问有限公司荆州分公司</w:t>
            </w:r>
          </w:p>
        </w:tc>
      </w:tr>
    </w:tbl>
    <w:p/>
    <w:p>
      <w:pPr>
        <w:pStyle w:val="2"/>
        <w:spacing w:line="400" w:lineRule="exact"/>
        <w:ind w:left="0"/>
        <w:rPr>
          <w:rFonts w:ascii="宋体" w:hAnsi="宋体" w:eastAsia="宋体" w:cs="宋体"/>
          <w:sz w:val="28"/>
          <w:szCs w:val="32"/>
        </w:rPr>
      </w:pPr>
    </w:p>
    <w:sectPr>
      <w:headerReference r:id="rId3" w:type="default"/>
      <w:footerReference r:id="rId4" w:type="default"/>
      <w:pgSz w:w="11906" w:h="16838"/>
      <w:pgMar w:top="1134" w:right="851" w:bottom="1588" w:left="851" w:header="737" w:footer="22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golian Baiti">
    <w:panose1 w:val="03000500000000000000"/>
    <w:charset w:val="00"/>
    <w:family w:val="script"/>
    <w:pitch w:val="default"/>
    <w:sig w:usb0="80000023" w:usb1="00000000" w:usb2="00020000" w:usb3="00000000" w:csb0="00000001" w:csb1="00000000"/>
  </w:font>
  <w:font w:name="微软雅黑">
    <w:panose1 w:val="020B0503020204020204"/>
    <w:charset w:val="86"/>
    <w:family w:val="swiss"/>
    <w:pitch w:val="default"/>
    <w:sig w:usb0="80000287" w:usb1="280F3C52" w:usb2="00000016" w:usb3="00000000" w:csb0="0004001F" w:csb1="00000000"/>
  </w:font>
  <w:font w:name="等线">
    <w:altName w:val="宋体"/>
    <w:panose1 w:val="00000000000000000000"/>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80" w:lineRule="auto"/>
      <w:rPr>
        <w:rFonts w:ascii="微软雅黑" w:hAnsi="微软雅黑" w:eastAsia="微软雅黑"/>
        <w:color w:val="404040" w:themeColor="text1" w:themeTint="BF"/>
        <w:sz w:val="14"/>
        <w:szCs w:val="14"/>
        <w14:textFill>
          <w14:solidFill>
            <w14:schemeClr w14:val="tx1">
              <w14:lumMod w14:val="75000"/>
              <w14:lumOff w14:val="25000"/>
            </w14:schemeClr>
          </w14:solidFill>
        </w14:textFill>
      </w:rPr>
    </w:pPr>
    <w:r>
      <w:rPr>
        <w:rFonts w:ascii="微软雅黑" w:hAnsi="微软雅黑" w:eastAsia="微软雅黑"/>
        <w:color w:val="404040" w:themeColor="text1" w:themeTint="BF"/>
        <w:sz w:val="14"/>
        <w:szCs w:val="14"/>
        <w14:textFill>
          <w14:solidFill>
            <w14:schemeClr w14:val="tx1">
              <w14:lumMod w14:val="75000"/>
              <w14:lumOff w14:val="25000"/>
            </w14:schemeClr>
          </w14:solidFill>
        </w14:textFill>
      </w:rPr>
      <w:drawing>
        <wp:anchor distT="0" distB="0" distL="114300" distR="114300" simplePos="0" relativeHeight="251694080" behindDoc="0" locked="0" layoutInCell="1" allowOverlap="1">
          <wp:simplePos x="0" y="0"/>
          <wp:positionH relativeFrom="column">
            <wp:posOffset>5962650</wp:posOffset>
          </wp:positionH>
          <wp:positionV relativeFrom="paragraph">
            <wp:posOffset>-152400</wp:posOffset>
          </wp:positionV>
          <wp:extent cx="498475" cy="498475"/>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02413" cy="502413"/>
                  </a:xfrm>
                  <a:prstGeom prst="rect">
                    <a:avLst/>
                  </a:prstGeom>
                  <a:noFill/>
                  <a:ln>
                    <a:noFill/>
                  </a:ln>
                </pic:spPr>
              </pic:pic>
            </a:graphicData>
          </a:graphic>
        </wp:anchor>
      </w:drawing>
    </w:r>
    <w:r>
      <w:rPr>
        <w:rFonts w:hint="eastAsia" w:ascii="微软雅黑" w:hAnsi="微软雅黑" w:eastAsia="微软雅黑"/>
        <w:color w:val="404040" w:themeColor="text1" w:themeTint="BF"/>
        <w:sz w:val="14"/>
        <w:szCs w:val="14"/>
        <w14:textFill>
          <w14:solidFill>
            <w14:schemeClr w14:val="tx1">
              <w14:lumMod w14:val="75000"/>
              <w14:lumOff w14:val="25000"/>
            </w14:schemeClr>
          </w14:solidFill>
        </w14:textFill>
      </w:rPr>
      <w:t xml:space="preserve"> </w:t>
    </w:r>
  </w:p>
  <w:p>
    <w:pPr>
      <w:pStyle w:val="3"/>
      <w:spacing w:line="180" w:lineRule="auto"/>
      <w:rPr>
        <w:rFonts w:ascii="微软雅黑" w:hAnsi="微软雅黑" w:eastAsia="微软雅黑"/>
        <w:color w:val="404040" w:themeColor="text1" w:themeTint="BF"/>
        <w:sz w:val="14"/>
        <w:szCs w:val="14"/>
        <w14:textFill>
          <w14:solidFill>
            <w14:schemeClr w14:val="tx1">
              <w14:lumMod w14:val="75000"/>
              <w14:lumOff w14:val="25000"/>
            </w14:schemeClr>
          </w14:solidFill>
        </w14:textFill>
      </w:rPr>
    </w:pPr>
  </w:p>
  <w:p>
    <w:pPr>
      <w:pStyle w:val="3"/>
      <w:spacing w:line="180" w:lineRule="auto"/>
      <w:rPr>
        <w:rFonts w:ascii="微软雅黑" w:hAnsi="微软雅黑" w:eastAsia="微软雅黑"/>
        <w:color w:val="404040" w:themeColor="text1" w:themeTint="BF"/>
        <w:sz w:val="14"/>
        <w:szCs w:val="14"/>
        <w14:textFill>
          <w14:solidFill>
            <w14:schemeClr w14:val="tx1">
              <w14:lumMod w14:val="75000"/>
              <w14:lumOff w14:val="25000"/>
            </w14:schemeClr>
          </w14:solidFill>
        </w14:textFill>
      </w:rPr>
    </w:pPr>
    <w:r>
      <w:rPr>
        <w:rFonts w:hint="eastAsia" w:ascii="微软雅黑" w:hAnsi="微软雅黑" w:eastAsia="微软雅黑"/>
        <w:color w:val="404040" w:themeColor="text1" w:themeTint="BF"/>
        <w:sz w:val="14"/>
        <w:szCs w:val="14"/>
        <w14:textFill>
          <w14:solidFill>
            <w14:schemeClr w14:val="tx1">
              <w14:lumMod w14:val="75000"/>
              <w14:lumOff w14:val="25000"/>
            </w14:schemeClr>
          </w14:solidFill>
        </w14:textFill>
      </w:rPr>
      <w:t>售前咨询热线：4</w:t>
    </w:r>
    <w:r>
      <w:rPr>
        <w:rFonts w:ascii="微软雅黑" w:hAnsi="微软雅黑" w:eastAsia="微软雅黑"/>
        <w:color w:val="404040" w:themeColor="text1" w:themeTint="BF"/>
        <w:sz w:val="14"/>
        <w:szCs w:val="14"/>
        <w14:textFill>
          <w14:solidFill>
            <w14:schemeClr w14:val="tx1">
              <w14:lumMod w14:val="75000"/>
              <w14:lumOff w14:val="25000"/>
            </w14:schemeClr>
          </w14:solidFill>
        </w14:textFill>
      </w:rPr>
      <w:t xml:space="preserve">00-098-7766      </w:t>
    </w:r>
    <w:r>
      <w:rPr>
        <w:rFonts w:hint="eastAsia" w:ascii="微软雅黑" w:hAnsi="微软雅黑" w:eastAsia="微软雅黑"/>
        <w:color w:val="404040" w:themeColor="text1" w:themeTint="BF"/>
        <w:sz w:val="14"/>
        <w:szCs w:val="14"/>
        <w14:textFill>
          <w14:solidFill>
            <w14:schemeClr w14:val="tx1">
              <w14:lumMod w14:val="75000"/>
              <w14:lumOff w14:val="25000"/>
            </w14:schemeClr>
          </w14:solidFill>
        </w14:textFill>
      </w:rPr>
      <w:t>质量监督热线：4</w:t>
    </w:r>
    <w:r>
      <w:rPr>
        <w:rFonts w:ascii="微软雅黑" w:hAnsi="微软雅黑" w:eastAsia="微软雅黑"/>
        <w:color w:val="404040" w:themeColor="text1" w:themeTint="BF"/>
        <w:sz w:val="14"/>
        <w:szCs w:val="14"/>
        <w14:textFill>
          <w14:solidFill>
            <w14:schemeClr w14:val="tx1">
              <w14:lumMod w14:val="75000"/>
              <w14:lumOff w14:val="25000"/>
            </w14:schemeClr>
          </w14:solidFill>
        </w14:textFill>
      </w:rPr>
      <w:t xml:space="preserve">00-666-8686      </w:t>
    </w:r>
    <w:r>
      <w:rPr>
        <w:rFonts w:hint="eastAsia" w:ascii="微软雅黑" w:hAnsi="微软雅黑" w:eastAsia="微软雅黑"/>
        <w:color w:val="404040" w:themeColor="text1" w:themeTint="BF"/>
        <w:sz w:val="14"/>
        <w:szCs w:val="14"/>
        <w14:textFill>
          <w14:solidFill>
            <w14:schemeClr w14:val="tx1">
              <w14:lumMod w14:val="75000"/>
              <w14:lumOff w14:val="25000"/>
            </w14:schemeClr>
          </w14:solidFill>
        </w14:textFill>
      </w:rPr>
      <w:t>客服咨询热线：4</w:t>
    </w:r>
    <w:r>
      <w:rPr>
        <w:rFonts w:ascii="微软雅黑" w:hAnsi="微软雅黑" w:eastAsia="微软雅黑"/>
        <w:color w:val="404040" w:themeColor="text1" w:themeTint="BF"/>
        <w:sz w:val="14"/>
        <w:szCs w:val="14"/>
        <w14:textFill>
          <w14:solidFill>
            <w14:schemeClr w14:val="tx1">
              <w14:lumMod w14:val="75000"/>
              <w14:lumOff w14:val="25000"/>
            </w14:schemeClr>
          </w14:solidFill>
        </w14:textFill>
      </w:rPr>
      <w:t xml:space="preserve">00-108-8080      </w:t>
    </w:r>
    <w:r>
      <w:rPr>
        <w:rFonts w:hint="eastAsia" w:ascii="微软雅黑" w:hAnsi="微软雅黑" w:eastAsia="微软雅黑"/>
        <w:color w:val="404040" w:themeColor="text1" w:themeTint="BF"/>
        <w:sz w:val="14"/>
        <w:szCs w:val="14"/>
        <w14:textFill>
          <w14:solidFill>
            <w14:schemeClr w14:val="tx1">
              <w14:lumMod w14:val="75000"/>
              <w14:lumOff w14:val="25000"/>
            </w14:schemeClr>
          </w14:solidFill>
        </w14:textFill>
      </w:rPr>
      <w:t>官方网站：</w:t>
    </w:r>
    <w:r>
      <w:rPr>
        <w:rFonts w:ascii="微软雅黑" w:hAnsi="微软雅黑" w:eastAsia="微软雅黑"/>
        <w:sz w:val="14"/>
        <w:szCs w:val="14"/>
      </w:rPr>
      <w:t>www.ctghr.com</w:t>
    </w:r>
  </w:p>
  <w:p>
    <w:pPr>
      <w:pStyle w:val="3"/>
      <w:spacing w:line="180" w:lineRule="auto"/>
      <w:rPr>
        <w:rFonts w:ascii="微软雅黑" w:hAnsi="微软雅黑" w:eastAsia="微软雅黑"/>
        <w:color w:val="404040" w:themeColor="text1" w:themeTint="BF"/>
        <w:sz w:val="14"/>
        <w:szCs w:val="14"/>
        <w14:textFill>
          <w14:solidFill>
            <w14:schemeClr w14:val="tx1">
              <w14:lumMod w14:val="75000"/>
              <w14:lumOff w14:val="25000"/>
            </w14:schemeClr>
          </w14:solidFill>
        </w14:textFill>
      </w:rPr>
    </w:pPr>
  </w:p>
  <w:p>
    <w:pPr>
      <w:pStyle w:val="3"/>
      <w:spacing w:line="180" w:lineRule="auto"/>
      <w:jc w:val="center"/>
      <w:rPr>
        <w:rFonts w:ascii="微软雅黑" w:hAnsi="微软雅黑" w:eastAsia="微软雅黑"/>
        <w:color w:val="404040" w:themeColor="text1" w:themeTint="BF"/>
        <w:sz w:val="15"/>
        <w:szCs w:val="15"/>
        <w14:textFill>
          <w14:solidFill>
            <w14:schemeClr w14:val="tx1">
              <w14:lumMod w14:val="75000"/>
              <w14:lumOff w14:val="25000"/>
            </w14:schemeClr>
          </w14:solidFill>
        </w14:textFill>
      </w:rPr>
    </w:pPr>
    <w:r>
      <w:rPr>
        <w:rFonts w:hint="eastAsia" w:ascii="微软雅黑" w:hAnsi="微软雅黑" w:eastAsia="微软雅黑"/>
        <w:color w:val="404040" w:themeColor="text1" w:themeTint="BF"/>
        <w:sz w:val="14"/>
        <w:szCs w:val="14"/>
        <w14:textFill>
          <w14:solidFill>
            <w14:schemeClr w14:val="tx1">
              <w14:lumMod w14:val="75000"/>
              <w14:lumOff w14:val="25000"/>
            </w14:schemeClr>
          </w14:solidFill>
        </w14:textFill>
      </w:rPr>
      <w:t>第</w:t>
    </w:r>
    <w:r>
      <w:rPr>
        <w:rFonts w:ascii="微软雅黑" w:hAnsi="微软雅黑" w:eastAsia="微软雅黑"/>
        <w:color w:val="404040" w:themeColor="text1" w:themeTint="BF"/>
        <w:sz w:val="14"/>
        <w:szCs w:val="14"/>
        <w14:textFill>
          <w14:solidFill>
            <w14:schemeClr w14:val="tx1">
              <w14:lumMod w14:val="75000"/>
              <w14:lumOff w14:val="25000"/>
            </w14:schemeClr>
          </w14:solidFill>
        </w14:textFill>
      </w:rPr>
      <w:t xml:space="preserve"> </w:t>
    </w:r>
    <w:r>
      <w:rPr>
        <w:rFonts w:ascii="微软雅黑" w:hAnsi="微软雅黑" w:eastAsia="微软雅黑"/>
        <w:color w:val="404040" w:themeColor="text1" w:themeTint="BF"/>
        <w:sz w:val="14"/>
        <w:szCs w:val="14"/>
        <w14:textFill>
          <w14:solidFill>
            <w14:schemeClr w14:val="tx1">
              <w14:lumMod w14:val="75000"/>
              <w14:lumOff w14:val="25000"/>
            </w14:schemeClr>
          </w14:solidFill>
        </w14:textFill>
      </w:rPr>
      <w:fldChar w:fldCharType="begin"/>
    </w:r>
    <w:r>
      <w:rPr>
        <w:rFonts w:ascii="微软雅黑" w:hAnsi="微软雅黑" w:eastAsia="微软雅黑"/>
        <w:color w:val="404040" w:themeColor="text1" w:themeTint="BF"/>
        <w:sz w:val="14"/>
        <w:szCs w:val="14"/>
        <w14:textFill>
          <w14:solidFill>
            <w14:schemeClr w14:val="tx1">
              <w14:lumMod w14:val="75000"/>
              <w14:lumOff w14:val="25000"/>
            </w14:schemeClr>
          </w14:solidFill>
        </w14:textFill>
      </w:rPr>
      <w:instrText xml:space="preserve"> PAGE   \* MERGEFORMAT </w:instrText>
    </w:r>
    <w:r>
      <w:rPr>
        <w:rFonts w:ascii="微软雅黑" w:hAnsi="微软雅黑" w:eastAsia="微软雅黑"/>
        <w:color w:val="404040" w:themeColor="text1" w:themeTint="BF"/>
        <w:sz w:val="14"/>
        <w:szCs w:val="14"/>
        <w14:textFill>
          <w14:solidFill>
            <w14:schemeClr w14:val="tx1">
              <w14:lumMod w14:val="75000"/>
              <w14:lumOff w14:val="25000"/>
            </w14:schemeClr>
          </w14:solidFill>
        </w14:textFill>
      </w:rPr>
      <w:fldChar w:fldCharType="separate"/>
    </w:r>
    <w:r>
      <w:rPr>
        <w:rFonts w:ascii="微软雅黑" w:hAnsi="微软雅黑" w:eastAsia="微软雅黑"/>
        <w:color w:val="404040" w:themeColor="text1" w:themeTint="BF"/>
        <w:sz w:val="14"/>
        <w:szCs w:val="14"/>
        <w14:textFill>
          <w14:solidFill>
            <w14:schemeClr w14:val="tx1">
              <w14:lumMod w14:val="75000"/>
              <w14:lumOff w14:val="25000"/>
            </w14:schemeClr>
          </w14:solidFill>
        </w14:textFill>
      </w:rPr>
      <w:t>7</w:t>
    </w:r>
    <w:r>
      <w:rPr>
        <w:rFonts w:ascii="微软雅黑" w:hAnsi="微软雅黑" w:eastAsia="微软雅黑"/>
        <w:color w:val="404040" w:themeColor="text1" w:themeTint="BF"/>
        <w:sz w:val="14"/>
        <w:szCs w:val="14"/>
        <w14:textFill>
          <w14:solidFill>
            <w14:schemeClr w14:val="tx1">
              <w14:lumMod w14:val="75000"/>
              <w14:lumOff w14:val="25000"/>
            </w14:schemeClr>
          </w14:solidFill>
        </w14:textFill>
      </w:rPr>
      <w:fldChar w:fldCharType="end"/>
    </w:r>
    <w:r>
      <w:rPr>
        <w:rFonts w:ascii="微软雅黑" w:hAnsi="微软雅黑" w:eastAsia="微软雅黑"/>
        <w:color w:val="404040" w:themeColor="text1" w:themeTint="BF"/>
        <w:sz w:val="14"/>
        <w:szCs w:val="14"/>
        <w14:textFill>
          <w14:solidFill>
            <w14:schemeClr w14:val="tx1">
              <w14:lumMod w14:val="75000"/>
              <w14:lumOff w14:val="25000"/>
            </w14:schemeClr>
          </w14:solidFill>
        </w14:textFill>
      </w:rPr>
      <w:t xml:space="preserve"> </w:t>
    </w:r>
    <w:r>
      <w:rPr>
        <w:rFonts w:hint="eastAsia" w:ascii="微软雅黑" w:hAnsi="微软雅黑" w:eastAsia="微软雅黑"/>
        <w:color w:val="404040" w:themeColor="text1" w:themeTint="BF"/>
        <w:sz w:val="14"/>
        <w:szCs w:val="14"/>
        <w14:textFill>
          <w14:solidFill>
            <w14:schemeClr w14:val="tx1">
              <w14:lumMod w14:val="75000"/>
              <w14:lumOff w14:val="25000"/>
            </w14:schemeClr>
          </w14:solidFill>
        </w14:textFill>
      </w:rPr>
      <w:t xml:space="preserve">页 </w:t>
    </w:r>
    <w:r>
      <w:rPr>
        <w:rFonts w:ascii="微软雅黑" w:hAnsi="微软雅黑" w:eastAsia="微软雅黑"/>
        <w:color w:val="404040" w:themeColor="text1" w:themeTint="BF"/>
        <w:sz w:val="14"/>
        <w:szCs w:val="14"/>
        <w14:textFill>
          <w14:solidFill>
            <w14:schemeClr w14:val="tx1">
              <w14:lumMod w14:val="75000"/>
              <w14:lumOff w14:val="25000"/>
            </w14:schemeClr>
          </w14:solidFill>
        </w14:textFill>
      </w:rPr>
      <w:t xml:space="preserve">  </w:t>
    </w:r>
    <w:r>
      <w:rPr>
        <w:rFonts w:hint="eastAsia" w:ascii="微软雅黑" w:hAnsi="微软雅黑" w:eastAsia="微软雅黑"/>
        <w:color w:val="404040" w:themeColor="text1" w:themeTint="BF"/>
        <w:sz w:val="14"/>
        <w:szCs w:val="14"/>
        <w14:textFill>
          <w14:solidFill>
            <w14:schemeClr w14:val="tx1">
              <w14:lumMod w14:val="75000"/>
              <w14:lumOff w14:val="25000"/>
            </w14:schemeClr>
          </w14:solidFill>
        </w14:textFill>
      </w:rPr>
      <w:t>共</w:t>
    </w:r>
    <w:r>
      <w:rPr>
        <w:rFonts w:ascii="微软雅黑" w:hAnsi="微软雅黑" w:eastAsia="微软雅黑"/>
        <w:color w:val="404040" w:themeColor="text1" w:themeTint="BF"/>
        <w:sz w:val="14"/>
        <w:szCs w:val="14"/>
        <w14:textFill>
          <w14:solidFill>
            <w14:schemeClr w14:val="tx1">
              <w14:lumMod w14:val="75000"/>
              <w14:lumOff w14:val="25000"/>
            </w14:schemeClr>
          </w14:solidFill>
        </w14:textFill>
      </w:rPr>
      <w:t xml:space="preserve"> </w:t>
    </w:r>
    <w:r>
      <w:rPr>
        <w:rFonts w:ascii="微软雅黑" w:hAnsi="微软雅黑" w:eastAsia="微软雅黑"/>
        <w:color w:val="404040" w:themeColor="text1" w:themeTint="BF"/>
        <w:sz w:val="14"/>
        <w:szCs w:val="14"/>
        <w14:textFill>
          <w14:solidFill>
            <w14:schemeClr w14:val="tx1">
              <w14:lumMod w14:val="75000"/>
              <w14:lumOff w14:val="25000"/>
            </w14:schemeClr>
          </w14:solidFill>
        </w14:textFill>
      </w:rPr>
      <w:fldChar w:fldCharType="begin"/>
    </w:r>
    <w:r>
      <w:rPr>
        <w:rFonts w:ascii="微软雅黑" w:hAnsi="微软雅黑" w:eastAsia="微软雅黑"/>
        <w:color w:val="404040" w:themeColor="text1" w:themeTint="BF"/>
        <w:sz w:val="14"/>
        <w:szCs w:val="14"/>
        <w14:textFill>
          <w14:solidFill>
            <w14:schemeClr w14:val="tx1">
              <w14:lumMod w14:val="75000"/>
              <w14:lumOff w14:val="25000"/>
            </w14:schemeClr>
          </w14:solidFill>
        </w14:textFill>
      </w:rPr>
      <w:instrText xml:space="preserve"> NUMPAGES   \* MERGEFORMAT </w:instrText>
    </w:r>
    <w:r>
      <w:rPr>
        <w:rFonts w:ascii="微软雅黑" w:hAnsi="微软雅黑" w:eastAsia="微软雅黑"/>
        <w:color w:val="404040" w:themeColor="text1" w:themeTint="BF"/>
        <w:sz w:val="14"/>
        <w:szCs w:val="14"/>
        <w14:textFill>
          <w14:solidFill>
            <w14:schemeClr w14:val="tx1">
              <w14:lumMod w14:val="75000"/>
              <w14:lumOff w14:val="25000"/>
            </w14:schemeClr>
          </w14:solidFill>
        </w14:textFill>
      </w:rPr>
      <w:fldChar w:fldCharType="separate"/>
    </w:r>
    <w:r>
      <w:rPr>
        <w:rFonts w:ascii="微软雅黑" w:hAnsi="微软雅黑" w:eastAsia="微软雅黑"/>
        <w:color w:val="404040" w:themeColor="text1" w:themeTint="BF"/>
        <w:sz w:val="14"/>
        <w:szCs w:val="14"/>
        <w14:textFill>
          <w14:solidFill>
            <w14:schemeClr w14:val="tx1">
              <w14:lumMod w14:val="75000"/>
              <w14:lumOff w14:val="25000"/>
            </w14:schemeClr>
          </w14:solidFill>
        </w14:textFill>
      </w:rPr>
      <w:t>8</w:t>
    </w:r>
    <w:r>
      <w:rPr>
        <w:rFonts w:ascii="微软雅黑" w:hAnsi="微软雅黑" w:eastAsia="微软雅黑"/>
        <w:color w:val="404040" w:themeColor="text1" w:themeTint="BF"/>
        <w:sz w:val="14"/>
        <w:szCs w:val="14"/>
        <w14:textFill>
          <w14:solidFill>
            <w14:schemeClr w14:val="tx1">
              <w14:lumMod w14:val="75000"/>
              <w14:lumOff w14:val="25000"/>
            </w14:schemeClr>
          </w14:solidFill>
        </w14:textFill>
      </w:rPr>
      <w:fldChar w:fldCharType="end"/>
    </w:r>
    <w:r>
      <w:rPr>
        <w:rFonts w:ascii="微软雅黑" w:hAnsi="微软雅黑" w:eastAsia="微软雅黑"/>
        <w:color w:val="404040" w:themeColor="text1" w:themeTint="BF"/>
        <w:sz w:val="14"/>
        <w:szCs w:val="14"/>
        <w14:textFill>
          <w14:solidFill>
            <w14:schemeClr w14:val="tx1">
              <w14:lumMod w14:val="75000"/>
              <w14:lumOff w14:val="25000"/>
            </w14:schemeClr>
          </w14:solidFill>
        </w14:textFill>
      </w:rPr>
      <w:t xml:space="preserve"> </w:t>
    </w:r>
    <w:r>
      <w:rPr>
        <w:rFonts w:hint="eastAsia" w:ascii="微软雅黑" w:hAnsi="微软雅黑" w:eastAsia="微软雅黑"/>
        <w:color w:val="404040" w:themeColor="text1" w:themeTint="BF"/>
        <w:sz w:val="14"/>
        <w:szCs w:val="14"/>
        <w14:textFill>
          <w14:solidFill>
            <w14:schemeClr w14:val="tx1">
              <w14:lumMod w14:val="75000"/>
              <w14:lumOff w14:val="25000"/>
            </w14:schemeClr>
          </w14:solidFill>
        </w14:textFill>
      </w:rPr>
      <w:t>页</w:t>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W w:w="104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210"/>
      <w:gridCol w:w="52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6" w:hRule="atLeast"/>
      </w:trPr>
      <w:tc>
        <w:tcPr>
          <w:tcW w:w="5210" w:type="dxa"/>
        </w:tcPr>
        <w:p>
          <w:pPr>
            <w:pStyle w:val="4"/>
            <w:pBdr>
              <w:bottom w:val="none" w:color="auto" w:sz="0" w:space="0"/>
            </w:pBdr>
            <w:spacing w:line="200" w:lineRule="exact"/>
            <w:jc w:val="both"/>
            <w:rPr>
              <w:rFonts w:ascii="微软雅黑" w:hAnsi="微软雅黑" w:eastAsia="微软雅黑"/>
              <w:b/>
              <w:bCs/>
              <w:color w:val="B12028"/>
              <w:sz w:val="32"/>
              <w:szCs w:val="32"/>
            </w:rPr>
          </w:pPr>
          <w:r>
            <w:rPr>
              <w:rFonts w:hint="eastAsia" w:ascii="微软雅黑" w:hAnsi="微软雅黑" w:eastAsia="微软雅黑"/>
              <w:b/>
              <w:bCs/>
              <w:color w:val="B12028"/>
              <w:sz w:val="32"/>
              <w:szCs w:val="32"/>
            </w:rPr>
            <w:drawing>
              <wp:anchor distT="0" distB="0" distL="114300" distR="114300" simplePos="0" relativeHeight="251648000" behindDoc="0" locked="0" layoutInCell="1" allowOverlap="1">
                <wp:simplePos x="0" y="0"/>
                <wp:positionH relativeFrom="column">
                  <wp:posOffset>-13335</wp:posOffset>
                </wp:positionH>
                <wp:positionV relativeFrom="paragraph">
                  <wp:posOffset>27305</wp:posOffset>
                </wp:positionV>
                <wp:extent cx="1016000" cy="243840"/>
                <wp:effectExtent l="0" t="0" r="0" b="4445"/>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16000" cy="243634"/>
                        </a:xfrm>
                        <a:prstGeom prst="rect">
                          <a:avLst/>
                        </a:prstGeom>
                        <a:noFill/>
                        <a:ln>
                          <a:noFill/>
                        </a:ln>
                      </pic:spPr>
                    </pic:pic>
                  </a:graphicData>
                </a:graphic>
              </wp:anchor>
            </w:drawing>
          </w:r>
        </w:p>
      </w:tc>
      <w:tc>
        <w:tcPr>
          <w:tcW w:w="5210" w:type="dxa"/>
        </w:tcPr>
        <w:p>
          <w:pPr>
            <w:pStyle w:val="4"/>
            <w:pBdr>
              <w:bottom w:val="none" w:color="auto" w:sz="0" w:space="0"/>
            </w:pBdr>
            <w:adjustRightInd w:val="0"/>
            <w:spacing w:line="300" w:lineRule="exact"/>
            <w:contextualSpacing/>
            <w:jc w:val="right"/>
            <w:rPr>
              <w:rFonts w:ascii="微软雅黑" w:hAnsi="微软雅黑" w:eastAsia="微软雅黑"/>
              <w:b/>
              <w:bCs/>
              <w:color w:val="B12028"/>
              <w:spacing w:val="20"/>
              <w:sz w:val="32"/>
              <w:szCs w:val="32"/>
            </w:rPr>
          </w:pPr>
          <w:r>
            <w:rPr>
              <w:rFonts w:ascii="微软雅黑" w:hAnsi="微软雅黑" w:eastAsia="微软雅黑"/>
              <w:b/>
              <w:bCs/>
              <w:color w:val="B12028"/>
              <w:sz w:val="32"/>
              <w:szCs w:val="32"/>
            </w:rPr>
            <w:t xml:space="preserve">                      </w:t>
          </w:r>
          <w:r>
            <w:rPr>
              <w:rFonts w:hint="eastAsia" w:ascii="微软雅黑" w:hAnsi="微软雅黑" w:eastAsia="微软雅黑"/>
              <w:b/>
              <w:bCs/>
              <w:color w:val="B12028"/>
              <w:spacing w:val="20"/>
              <w:sz w:val="21"/>
              <w:szCs w:val="21"/>
            </w:rPr>
            <w:t>易才集团</w:t>
          </w:r>
        </w:p>
        <w:p>
          <w:pPr>
            <w:pStyle w:val="4"/>
            <w:pBdr>
              <w:bottom w:val="none" w:color="auto" w:sz="0" w:space="0"/>
            </w:pBdr>
            <w:wordWrap w:val="0"/>
            <w:adjustRightInd w:val="0"/>
            <w:spacing w:line="120" w:lineRule="exact"/>
            <w:contextualSpacing/>
            <w:jc w:val="right"/>
            <w:rPr>
              <w:rFonts w:ascii="微软雅黑" w:hAnsi="微软雅黑" w:eastAsia="微软雅黑"/>
              <w:b/>
              <w:bCs/>
              <w:color w:val="B12028"/>
              <w:sz w:val="32"/>
              <w:szCs w:val="32"/>
            </w:rPr>
          </w:pPr>
          <w:r>
            <w:rPr>
              <w:rFonts w:ascii="微软雅黑" w:hAnsi="微软雅黑" w:eastAsia="微软雅黑"/>
              <w:b/>
              <w:bCs/>
              <w:sz w:val="10"/>
              <w:szCs w:val="10"/>
            </w:rPr>
            <w:t>C</w:t>
          </w:r>
          <w:r>
            <w:rPr>
              <w:rFonts w:hint="eastAsia" w:ascii="微软雅黑" w:hAnsi="微软雅黑" w:eastAsia="微软雅黑"/>
              <w:b/>
              <w:bCs/>
              <w:sz w:val="10"/>
              <w:szCs w:val="10"/>
            </w:rPr>
            <w:t>hina</w:t>
          </w:r>
          <w:r>
            <w:rPr>
              <w:rFonts w:ascii="微软雅黑" w:hAnsi="微软雅黑" w:eastAsia="微软雅黑"/>
              <w:b/>
              <w:bCs/>
              <w:sz w:val="10"/>
              <w:szCs w:val="10"/>
            </w:rPr>
            <w:t xml:space="preserve"> Talent Group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0" w:hRule="atLeast"/>
      </w:trPr>
      <w:tc>
        <w:tcPr>
          <w:tcW w:w="5210" w:type="dxa"/>
        </w:tcPr>
        <w:p>
          <w:pPr>
            <w:pStyle w:val="4"/>
            <w:pBdr>
              <w:bottom w:val="none" w:color="auto" w:sz="0" w:space="0"/>
            </w:pBdr>
            <w:spacing w:line="200" w:lineRule="exact"/>
            <w:rPr>
              <w:rFonts w:ascii="微软雅黑" w:hAnsi="微软雅黑" w:eastAsia="微软雅黑"/>
              <w:b/>
              <w:bCs/>
              <w:color w:val="B12028"/>
              <w:sz w:val="32"/>
              <w:szCs w:val="32"/>
            </w:rPr>
          </w:pPr>
          <w:r>
            <w:rPr>
              <w:rFonts w:hint="eastAsia" w:ascii="微软雅黑" w:hAnsi="微软雅黑" w:eastAsia="微软雅黑"/>
              <w:b/>
              <w:bCs/>
              <w:color w:val="B12028"/>
              <w:sz w:val="32"/>
              <w:szCs w:val="32"/>
            </w:rPr>
            <mc:AlternateContent>
              <mc:Choice Requires="wps">
                <w:drawing>
                  <wp:anchor distT="0" distB="0" distL="114300" distR="114300" simplePos="0" relativeHeight="251670528" behindDoc="0" locked="0" layoutInCell="1" allowOverlap="1">
                    <wp:simplePos x="0" y="0"/>
                    <wp:positionH relativeFrom="column">
                      <wp:posOffset>-19685</wp:posOffset>
                    </wp:positionH>
                    <wp:positionV relativeFrom="paragraph">
                      <wp:posOffset>109855</wp:posOffset>
                    </wp:positionV>
                    <wp:extent cx="648335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6483350" cy="0"/>
                            </a:xfrm>
                            <a:prstGeom prst="line">
                              <a:avLst/>
                            </a:prstGeom>
                            <a:ln>
                              <a:solidFill>
                                <a:srgbClr val="B12028"/>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5pt;margin-top:8.65pt;height:0pt;width:510.5pt;z-index:251670528;mso-width-relative:page;mso-height-relative:page;" filled="f" stroked="t" coordsize="21600,21600" o:gfxdata="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k/vS9kAAAAJAQAADwAAAAAAAAABACAAAAAiAAAAZHJzL2Rvd25yZXYu&#10;eG1sUEsBAhQAFAAAAAgAh07iQA9vh/nBAQAATAMAAA4AAAAAAAAAAQAgAAAAKAEAAGRycy9lMm9E&#10;b2MueG1sUEsFBgAAAAAGAAYAWQEAAFsFAAAAAA==&#10;">
                    <v:fill on="f" focussize="0,0"/>
                    <v:stroke color="#B12028 [3204]" joinstyle="round"/>
                    <v:imagedata o:title=""/>
                    <o:lock v:ext="edit" aspectratio="f"/>
                  </v:line>
                </w:pict>
              </mc:Fallback>
            </mc:AlternateContent>
          </w:r>
        </w:p>
      </w:tc>
      <w:tc>
        <w:tcPr>
          <w:tcW w:w="5210" w:type="dxa"/>
        </w:tcPr>
        <w:p>
          <w:pPr>
            <w:pStyle w:val="4"/>
            <w:pBdr>
              <w:bottom w:val="none" w:color="auto" w:sz="0" w:space="0"/>
            </w:pBdr>
            <w:spacing w:line="200" w:lineRule="exact"/>
            <w:jc w:val="right"/>
            <w:rPr>
              <w:rFonts w:ascii="微软雅黑" w:hAnsi="微软雅黑" w:eastAsia="微软雅黑"/>
              <w:b/>
              <w:bCs/>
              <w:color w:val="B12028"/>
              <w:sz w:val="32"/>
              <w:szCs w:val="32"/>
            </w:rPr>
          </w:pPr>
        </w:p>
      </w:tc>
    </w:tr>
  </w:tbl>
  <w:p>
    <w:pPr>
      <w:pStyle w:val="4"/>
      <w:pBdr>
        <w:bottom w:val="none" w:color="auto" w:sz="0" w:space="0"/>
      </w:pBdr>
      <w:spacing w:line="200" w:lineRule="exact"/>
      <w:ind w:firstLine="15047" w:firstLineChars="4700"/>
      <w:rPr>
        <w:rFonts w:ascii="微软雅黑" w:hAnsi="微软雅黑" w:eastAsia="微软雅黑"/>
        <w:b/>
        <w:bCs/>
        <w:color w:val="B12028"/>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lvl w:ilvl="0" w:tentative="0">
      <w:start w:val="1"/>
      <w:numFmt w:val="chineseCountingThousand"/>
      <w:suff w:val="nothing"/>
      <w:lvlText w:val="第%1条"/>
      <w:lvlJc w:val="left"/>
      <w:pPr>
        <w:ind w:left="0" w:firstLine="0"/>
      </w:pPr>
      <w:rPr>
        <w:rFonts w:hint="eastAsia"/>
        <w:b/>
      </w:rPr>
    </w:lvl>
    <w:lvl w:ilvl="1" w:tentative="0">
      <w:start w:val="1"/>
      <w:numFmt w:val="decimal"/>
      <w:lvlText w:val="9.%2"/>
      <w:lvlJc w:val="left"/>
      <w:pPr>
        <w:tabs>
          <w:tab w:val="left" w:pos="420"/>
        </w:tabs>
        <w:ind w:left="420" w:hanging="42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00000018"/>
    <w:multiLevelType w:val="multilevel"/>
    <w:tmpl w:val="00000018"/>
    <w:lvl w:ilvl="0" w:tentative="0">
      <w:start w:val="1"/>
      <w:numFmt w:val="decimal"/>
      <w:lvlText w:val="1.%1"/>
      <w:lvlJc w:val="left"/>
      <w:pPr>
        <w:tabs>
          <w:tab w:val="left" w:pos="420"/>
        </w:tabs>
        <w:ind w:left="420" w:hanging="420"/>
      </w:pPr>
      <w:rPr>
        <w:rFonts w:hint="eastAsia"/>
      </w:rPr>
    </w:lvl>
    <w:lvl w:ilvl="1" w:tentative="0">
      <w:start w:val="1"/>
      <w:numFmt w:val="decimal"/>
      <w:lvlText w:val="3.%2"/>
      <w:lvlJc w:val="left"/>
      <w:pPr>
        <w:tabs>
          <w:tab w:val="left" w:pos="840"/>
        </w:tabs>
        <w:ind w:left="840" w:hanging="420"/>
      </w:pPr>
      <w:rPr>
        <w:rFonts w:hint="eastAsia"/>
      </w:rPr>
    </w:lvl>
    <w:lvl w:ilvl="2" w:tentative="0">
      <w:start w:val="1"/>
      <w:numFmt w:val="decimal"/>
      <w:lvlText w:val="4.%3"/>
      <w:lvlJc w:val="left"/>
      <w:pPr>
        <w:tabs>
          <w:tab w:val="left" w:pos="1260"/>
        </w:tabs>
        <w:ind w:left="1260" w:hanging="420"/>
      </w:pPr>
      <w:rPr>
        <w:rFonts w:hint="eastAsia"/>
      </w:rPr>
    </w:lvl>
    <w:lvl w:ilvl="3" w:tentative="0">
      <w:start w:val="1"/>
      <w:numFmt w:val="decimal"/>
      <w:lvlText w:val="7.%4"/>
      <w:lvlJc w:val="left"/>
      <w:pPr>
        <w:tabs>
          <w:tab w:val="left" w:pos="1680"/>
        </w:tabs>
        <w:ind w:left="1680" w:hanging="420"/>
      </w:pPr>
      <w:rPr>
        <w:rFonts w:hint="eastAsia"/>
      </w:rPr>
    </w:lvl>
    <w:lvl w:ilvl="4" w:tentative="0">
      <w:start w:val="6"/>
      <w:numFmt w:val="decimalFullWidth"/>
      <w:lvlText w:val="%5．"/>
      <w:lvlJc w:val="left"/>
      <w:pPr>
        <w:tabs>
          <w:tab w:val="left" w:pos="2070"/>
        </w:tabs>
        <w:ind w:left="2070" w:hanging="390"/>
      </w:pPr>
      <w:rPr>
        <w:rFonts w:hint="default"/>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A911A3E"/>
    <w:multiLevelType w:val="multilevel"/>
    <w:tmpl w:val="0A911A3E"/>
    <w:lvl w:ilvl="0" w:tentative="0">
      <w:start w:val="1"/>
      <w:numFmt w:val="decimal"/>
      <w:lvlText w:val="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8740531"/>
    <w:multiLevelType w:val="multilevel"/>
    <w:tmpl w:val="3874053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3B795C13"/>
    <w:multiLevelType w:val="multilevel"/>
    <w:tmpl w:val="3B795C13"/>
    <w:lvl w:ilvl="0" w:tentative="0">
      <w:start w:val="1"/>
      <w:numFmt w:val="decimal"/>
      <w:lvlText w:val="4.%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3637E2E"/>
    <w:multiLevelType w:val="multilevel"/>
    <w:tmpl w:val="43637E2E"/>
    <w:lvl w:ilvl="0" w:tentative="0">
      <w:start w:val="1"/>
      <w:numFmt w:val="decimal"/>
      <w:lvlText w:val="1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5050374"/>
    <w:multiLevelType w:val="multilevel"/>
    <w:tmpl w:val="45050374"/>
    <w:lvl w:ilvl="0" w:tentative="0">
      <w:start w:val="1"/>
      <w:numFmt w:val="decimal"/>
      <w:lvlText w:val="8.%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6D6321E"/>
    <w:multiLevelType w:val="multilevel"/>
    <w:tmpl w:val="46D6321E"/>
    <w:lvl w:ilvl="0" w:tentative="0">
      <w:start w:val="1"/>
      <w:numFmt w:val="decimal"/>
      <w:lvlText w:val="7.%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7FA4B12"/>
    <w:multiLevelType w:val="multilevel"/>
    <w:tmpl w:val="57FA4B12"/>
    <w:lvl w:ilvl="0" w:tentative="0">
      <w:start w:val="1"/>
      <w:numFmt w:val="decimal"/>
      <w:lvlText w:val="2.%1"/>
      <w:lvlJc w:val="left"/>
      <w:pPr>
        <w:ind w:left="420" w:hanging="420"/>
      </w:pPr>
      <w:rPr>
        <w:rFonts w:hint="eastAsia"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F2901AC"/>
    <w:multiLevelType w:val="multilevel"/>
    <w:tmpl w:val="5F2901AC"/>
    <w:lvl w:ilvl="0" w:tentative="0">
      <w:start w:val="1"/>
      <w:numFmt w:val="decimal"/>
      <w:lvlText w:val="13.%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D4B1211"/>
    <w:multiLevelType w:val="multilevel"/>
    <w:tmpl w:val="6D4B1211"/>
    <w:lvl w:ilvl="0" w:tentative="0">
      <w:start w:val="1"/>
      <w:numFmt w:val="decimal"/>
      <w:lvlText w:val="6.%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6DC5652C"/>
    <w:multiLevelType w:val="multilevel"/>
    <w:tmpl w:val="6DC5652C"/>
    <w:lvl w:ilvl="0" w:tentative="0">
      <w:start w:val="1"/>
      <w:numFmt w:val="decimal"/>
      <w:lvlText w:val="14.%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7A2830F0"/>
    <w:multiLevelType w:val="multilevel"/>
    <w:tmpl w:val="7A2830F0"/>
    <w:lvl w:ilvl="0" w:tentative="0">
      <w:start w:val="1"/>
      <w:numFmt w:val="decimal"/>
      <w:lvlText w:val="5.%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7B12397B"/>
    <w:multiLevelType w:val="multilevel"/>
    <w:tmpl w:val="7B12397B"/>
    <w:lvl w:ilvl="0" w:tentative="0">
      <w:start w:val="1"/>
      <w:numFmt w:val="decimal"/>
      <w:lvlText w:val="9.%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8"/>
  </w:num>
  <w:num w:numId="4">
    <w:abstractNumId w:val="1"/>
  </w:num>
  <w:num w:numId="5">
    <w:abstractNumId w:val="4"/>
  </w:num>
  <w:num w:numId="6">
    <w:abstractNumId w:val="12"/>
  </w:num>
  <w:num w:numId="7">
    <w:abstractNumId w:val="10"/>
  </w:num>
  <w:num w:numId="8">
    <w:abstractNumId w:val="7"/>
  </w:num>
  <w:num w:numId="9">
    <w:abstractNumId w:val="6"/>
  </w:num>
  <w:num w:numId="10">
    <w:abstractNumId w:val="13"/>
  </w:num>
  <w:num w:numId="11">
    <w:abstractNumId w:val="5"/>
  </w:num>
  <w:num w:numId="12">
    <w:abstractNumId w:val="9"/>
  </w:num>
  <w:num w:numId="13">
    <w:abstractNumId w:val="1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2F4"/>
    <w:rsid w:val="00023D7E"/>
    <w:rsid w:val="000266E4"/>
    <w:rsid w:val="00051988"/>
    <w:rsid w:val="000571C3"/>
    <w:rsid w:val="00062B1F"/>
    <w:rsid w:val="00067913"/>
    <w:rsid w:val="000A6551"/>
    <w:rsid w:val="000A6F79"/>
    <w:rsid w:val="000F756E"/>
    <w:rsid w:val="00112DF8"/>
    <w:rsid w:val="00175147"/>
    <w:rsid w:val="001772D6"/>
    <w:rsid w:val="001907D7"/>
    <w:rsid w:val="001C55C5"/>
    <w:rsid w:val="001D5241"/>
    <w:rsid w:val="001E6D9C"/>
    <w:rsid w:val="00221364"/>
    <w:rsid w:val="00224E22"/>
    <w:rsid w:val="0023755F"/>
    <w:rsid w:val="00253525"/>
    <w:rsid w:val="002544A9"/>
    <w:rsid w:val="002571B2"/>
    <w:rsid w:val="00257FE9"/>
    <w:rsid w:val="002635C7"/>
    <w:rsid w:val="00264F50"/>
    <w:rsid w:val="002722F4"/>
    <w:rsid w:val="00302436"/>
    <w:rsid w:val="00314D26"/>
    <w:rsid w:val="003311C6"/>
    <w:rsid w:val="00335B74"/>
    <w:rsid w:val="00355AD7"/>
    <w:rsid w:val="00363153"/>
    <w:rsid w:val="00384AA7"/>
    <w:rsid w:val="00391CA3"/>
    <w:rsid w:val="00395D5B"/>
    <w:rsid w:val="003A19D7"/>
    <w:rsid w:val="003B034B"/>
    <w:rsid w:val="003C0054"/>
    <w:rsid w:val="003C2384"/>
    <w:rsid w:val="003E3CF6"/>
    <w:rsid w:val="00417245"/>
    <w:rsid w:val="00417F2B"/>
    <w:rsid w:val="00431D1D"/>
    <w:rsid w:val="00446B1A"/>
    <w:rsid w:val="00471782"/>
    <w:rsid w:val="00495772"/>
    <w:rsid w:val="004B5B8D"/>
    <w:rsid w:val="004C57BD"/>
    <w:rsid w:val="004C6385"/>
    <w:rsid w:val="004E248D"/>
    <w:rsid w:val="004E41A5"/>
    <w:rsid w:val="00501511"/>
    <w:rsid w:val="00514E3C"/>
    <w:rsid w:val="00517847"/>
    <w:rsid w:val="0053187F"/>
    <w:rsid w:val="005336C3"/>
    <w:rsid w:val="0053460D"/>
    <w:rsid w:val="00537A89"/>
    <w:rsid w:val="005418B3"/>
    <w:rsid w:val="00592564"/>
    <w:rsid w:val="005A245A"/>
    <w:rsid w:val="005A2ADD"/>
    <w:rsid w:val="005B424F"/>
    <w:rsid w:val="005D2E8A"/>
    <w:rsid w:val="00611407"/>
    <w:rsid w:val="00654DC8"/>
    <w:rsid w:val="00684B13"/>
    <w:rsid w:val="00693C1F"/>
    <w:rsid w:val="006C3D59"/>
    <w:rsid w:val="006D2369"/>
    <w:rsid w:val="006F7693"/>
    <w:rsid w:val="0070346A"/>
    <w:rsid w:val="00705C7E"/>
    <w:rsid w:val="00712F9F"/>
    <w:rsid w:val="00733B4D"/>
    <w:rsid w:val="00740F88"/>
    <w:rsid w:val="007513C6"/>
    <w:rsid w:val="00774210"/>
    <w:rsid w:val="00791EE5"/>
    <w:rsid w:val="007D657C"/>
    <w:rsid w:val="007F4E4A"/>
    <w:rsid w:val="00814DEA"/>
    <w:rsid w:val="008450EF"/>
    <w:rsid w:val="00866EBB"/>
    <w:rsid w:val="00891046"/>
    <w:rsid w:val="0089518B"/>
    <w:rsid w:val="008F3FB6"/>
    <w:rsid w:val="00921009"/>
    <w:rsid w:val="009455EA"/>
    <w:rsid w:val="009776F5"/>
    <w:rsid w:val="009C617F"/>
    <w:rsid w:val="009F2159"/>
    <w:rsid w:val="00A04723"/>
    <w:rsid w:val="00A16BA2"/>
    <w:rsid w:val="00A85D96"/>
    <w:rsid w:val="00A920BE"/>
    <w:rsid w:val="00A97D3C"/>
    <w:rsid w:val="00AB709A"/>
    <w:rsid w:val="00AE6206"/>
    <w:rsid w:val="00AF24CC"/>
    <w:rsid w:val="00B32F58"/>
    <w:rsid w:val="00BB26A0"/>
    <w:rsid w:val="00BC3E01"/>
    <w:rsid w:val="00C03377"/>
    <w:rsid w:val="00C57452"/>
    <w:rsid w:val="00C92991"/>
    <w:rsid w:val="00CA0DA1"/>
    <w:rsid w:val="00CA5A5D"/>
    <w:rsid w:val="00CC0C8C"/>
    <w:rsid w:val="00D017AE"/>
    <w:rsid w:val="00D31A8C"/>
    <w:rsid w:val="00D33C42"/>
    <w:rsid w:val="00D451C7"/>
    <w:rsid w:val="00D525F6"/>
    <w:rsid w:val="00D850DD"/>
    <w:rsid w:val="00DA1592"/>
    <w:rsid w:val="00DA3E90"/>
    <w:rsid w:val="00DA4DB7"/>
    <w:rsid w:val="00DC5638"/>
    <w:rsid w:val="00DF712E"/>
    <w:rsid w:val="00E04749"/>
    <w:rsid w:val="00E323ED"/>
    <w:rsid w:val="00E43DE6"/>
    <w:rsid w:val="00E802BB"/>
    <w:rsid w:val="00E86749"/>
    <w:rsid w:val="00E95749"/>
    <w:rsid w:val="00ED43C8"/>
    <w:rsid w:val="00ED601B"/>
    <w:rsid w:val="00F355B2"/>
    <w:rsid w:val="00F37601"/>
    <w:rsid w:val="00F91321"/>
    <w:rsid w:val="00FC507F"/>
    <w:rsid w:val="00FD493D"/>
    <w:rsid w:val="00FD4DC8"/>
    <w:rsid w:val="00FF059E"/>
    <w:rsid w:val="09B903A4"/>
    <w:rsid w:val="2C953056"/>
    <w:rsid w:val="41E268E5"/>
    <w:rsid w:val="5D3560D6"/>
    <w:rsid w:val="7749343C"/>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link w:val="16"/>
    <w:qFormat/>
    <w:uiPriority w:val="0"/>
    <w:pPr>
      <w:ind w:left="425"/>
    </w:pPr>
    <w:rPr>
      <w:rFonts w:eastAsia="黑体"/>
      <w:szCs w:val="20"/>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Indent 3"/>
    <w:basedOn w:val="1"/>
    <w:link w:val="17"/>
    <w:qFormat/>
    <w:uiPriority w:val="0"/>
    <w:pPr>
      <w:spacing w:before="50" w:line="280" w:lineRule="exact"/>
      <w:ind w:left="416" w:firstLine="471"/>
    </w:pPr>
    <w:rPr>
      <w:rFonts w:ascii="宋体" w:hAnsi="宋体"/>
      <w:sz w:val="24"/>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styleId="9">
    <w:name w:val="annotation reference"/>
    <w:qFormat/>
    <w:uiPriority w:val="0"/>
    <w:rPr>
      <w:sz w:val="21"/>
      <w:szCs w:val="21"/>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2">
    <w:name w:val="页眉 Char"/>
    <w:basedOn w:val="7"/>
    <w:link w:val="4"/>
    <w:qFormat/>
    <w:uiPriority w:val="99"/>
    <w:rPr>
      <w:sz w:val="18"/>
      <w:szCs w:val="18"/>
    </w:rPr>
  </w:style>
  <w:style w:type="character" w:customStyle="1" w:styleId="13">
    <w:name w:val="页脚 Char"/>
    <w:basedOn w:val="7"/>
    <w:link w:val="3"/>
    <w:qFormat/>
    <w:uiPriority w:val="99"/>
    <w:rPr>
      <w:sz w:val="18"/>
      <w:szCs w:val="18"/>
    </w:rPr>
  </w:style>
  <w:style w:type="character" w:customStyle="1" w:styleId="14">
    <w:name w:val="未处理的提及1"/>
    <w:basedOn w:val="7"/>
    <w:semiHidden/>
    <w:unhideWhenUsed/>
    <w:qFormat/>
    <w:uiPriority w:val="99"/>
    <w:rPr>
      <w:color w:val="605E5C"/>
      <w:shd w:val="clear" w:color="auto" w:fill="E1DFDD"/>
    </w:rPr>
  </w:style>
  <w:style w:type="paragraph" w:styleId="15">
    <w:name w:val="List Paragraph"/>
    <w:basedOn w:val="1"/>
    <w:qFormat/>
    <w:uiPriority w:val="34"/>
    <w:pPr>
      <w:ind w:firstLine="420" w:firstLineChars="200"/>
    </w:pPr>
  </w:style>
  <w:style w:type="character" w:customStyle="1" w:styleId="16">
    <w:name w:val="正文文本缩进 Char"/>
    <w:basedOn w:val="7"/>
    <w:link w:val="2"/>
    <w:qFormat/>
    <w:uiPriority w:val="0"/>
    <w:rPr>
      <w:rFonts w:ascii="Times New Roman" w:hAnsi="Times New Roman" w:eastAsia="黑体" w:cs="Times New Roman"/>
      <w:szCs w:val="20"/>
    </w:rPr>
  </w:style>
  <w:style w:type="character" w:customStyle="1" w:styleId="17">
    <w:name w:val="正文文本缩进 3 Char"/>
    <w:basedOn w:val="7"/>
    <w:link w:val="5"/>
    <w:qFormat/>
    <w:uiPriority w:val="0"/>
    <w:rPr>
      <w:rFonts w:ascii="宋体" w:hAnsi="宋体" w:eastAsia="宋体" w:cs="Times New Roman"/>
      <w:sz w:val="24"/>
      <w:szCs w:val="24"/>
    </w:rPr>
  </w:style>
  <w:style w:type="paragraph" w:customStyle="1" w:styleId="18">
    <w:name w:val="Normal1"/>
    <w:qFormat/>
    <w:uiPriority w:val="0"/>
    <w:pPr>
      <w:widowControl w:val="0"/>
      <w:adjustRightInd w:val="0"/>
      <w:spacing w:line="360" w:lineRule="atLeast"/>
      <w:textAlignment w:val="baseline"/>
    </w:pPr>
    <w:rPr>
      <w:rFonts w:ascii="宋体" w:hAnsi="Times New Roman" w:eastAsia="宋体" w:cs="Times New Roman"/>
      <w:sz w:val="3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E45FA0-8814-45C6-8900-B014DCDE86BD}">
  <ds:schemaRefs/>
</ds:datastoreItem>
</file>

<file path=docProps/app.xml><?xml version="1.0" encoding="utf-8"?>
<Properties xmlns="http://schemas.openxmlformats.org/officeDocument/2006/extended-properties" xmlns:vt="http://schemas.openxmlformats.org/officeDocument/2006/docPropsVTypes">
  <Template>Normal</Template>
  <Pages>8</Pages>
  <Words>1288</Words>
  <Characters>7344</Characters>
  <Lines>61</Lines>
  <Paragraphs>17</Paragraphs>
  <TotalTime>12</TotalTime>
  <ScaleCrop>false</ScaleCrop>
  <LinksUpToDate>false</LinksUpToDate>
  <CharactersWithSpaces>8615</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2021-02-27T20:06:00Z</dcterms:created>
  <dc:creator>周 东旭</dc:creator>
  <cp:lastModifiedBy>殷明悦</cp:lastModifiedBy>
  <cp:lastPrinted>2021-02-23T05:11:00Z</cp:lastPrinted>
  <dcterms:modified xsi:type="dcterms:W3CDTF">2022-05-12T07:51:31Z</dcterms:modified>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